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D96EF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唐河县</w:t>
      </w:r>
      <w:r>
        <w:rPr>
          <w:rFonts w:hint="eastAsia"/>
          <w:sz w:val="36"/>
          <w:szCs w:val="36"/>
          <w:lang w:eastAsia="zh-CN"/>
        </w:rPr>
        <w:t>县级</w:t>
      </w:r>
      <w:r>
        <w:rPr>
          <w:rFonts w:hint="eastAsia"/>
          <w:sz w:val="36"/>
          <w:szCs w:val="36"/>
        </w:rPr>
        <w:t>财政衔接推进乡村振兴资金</w:t>
      </w:r>
    </w:p>
    <w:p w14:paraId="36D81883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项目安排计划公告公示(第</w:t>
      </w:r>
      <w:r>
        <w:rPr>
          <w:rFonts w:hint="eastAsia"/>
          <w:sz w:val="36"/>
          <w:szCs w:val="36"/>
          <w:lang w:eastAsia="zh-CN"/>
        </w:rPr>
        <w:t>二</w:t>
      </w:r>
      <w:r>
        <w:rPr>
          <w:rFonts w:hint="eastAsia"/>
          <w:sz w:val="36"/>
          <w:szCs w:val="36"/>
        </w:rPr>
        <w:t>批)</w:t>
      </w:r>
    </w:p>
    <w:p w14:paraId="4C732C28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关于加强中央财政衔接推进乡村振兴补助资金使用管理的指导意见（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财农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[2022]14号文）</w:t>
      </w:r>
      <w:r>
        <w:rPr>
          <w:rFonts w:hint="eastAsia" w:ascii="仿宋" w:hAnsi="仿宋" w:eastAsia="仿宋" w:cs="宋体"/>
          <w:sz w:val="32"/>
          <w:szCs w:val="32"/>
        </w:rPr>
        <w:t>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关于开展2024年财政衔接推进乡村振兴补助资金调度工作的通知（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豫财农综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[2024]3号）要求，按照</w:t>
      </w:r>
      <w:r>
        <w:rPr>
          <w:rFonts w:hint="eastAsia" w:ascii="仿宋" w:hAnsi="仿宋" w:eastAsia="仿宋"/>
          <w:sz w:val="32"/>
          <w:szCs w:val="32"/>
        </w:rPr>
        <w:t>中共唐河县委农村工作领导小组</w:t>
      </w:r>
      <w:r>
        <w:rPr>
          <w:rFonts w:hint="eastAsia" w:ascii="仿宋" w:hAnsi="仿宋" w:eastAsia="仿宋" w:cs="宋体"/>
          <w:sz w:val="32"/>
          <w:szCs w:val="32"/>
        </w:rPr>
        <w:t>对202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财政衔接推进乡村振兴资金</w:t>
      </w:r>
      <w:r>
        <w:rPr>
          <w:rFonts w:hint="eastAsia" w:ascii="仿宋" w:hAnsi="仿宋" w:eastAsia="仿宋" w:cs="宋体"/>
          <w:sz w:val="32"/>
          <w:szCs w:val="32"/>
        </w:rPr>
        <w:t>预算资金分配的建议，县人代会批准通过了《关于唐河县202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年财政预算执行情况和202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年财政预算执行（草案）的报告》，经研究，安排县级财政衔接资金44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0万元</w:t>
      </w:r>
      <w:r>
        <w:rPr>
          <w:rFonts w:hint="eastAsia" w:ascii="仿宋" w:hAnsi="仿宋" w:eastAsia="仿宋"/>
          <w:sz w:val="32"/>
          <w:szCs w:val="32"/>
        </w:rPr>
        <w:t xml:space="preserve">，现将资金分配使用计划公示如下： </w:t>
      </w:r>
    </w:p>
    <w:p w14:paraId="411A6F09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一、资金来源</w:t>
      </w:r>
    </w:p>
    <w:p w14:paraId="5D40632D">
      <w:pPr>
        <w:spacing w:line="540" w:lineRule="exact"/>
        <w:ind w:firstLine="645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宋体"/>
          <w:sz w:val="32"/>
          <w:szCs w:val="32"/>
        </w:rPr>
        <w:t>县级财政衔接推进乡村振兴补助资金44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0万元，其中《关于拨付202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年县级财政衔接推进乡村振资金的通知》（唐财农〔202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号）</w:t>
      </w:r>
    </w:p>
    <w:p w14:paraId="486C2B31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二、分配原则</w:t>
      </w:r>
    </w:p>
    <w:p w14:paraId="71BBA472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中共唐河县委农村工作领导小组</w:t>
      </w:r>
      <w:r>
        <w:rPr>
          <w:rFonts w:hint="eastAsia" w:ascii="仿宋" w:hAnsi="仿宋" w:eastAsia="仿宋"/>
          <w:sz w:val="32"/>
          <w:szCs w:val="32"/>
          <w:lang w:eastAsia="zh-CN"/>
        </w:rPr>
        <w:t>建议：</w:t>
      </w:r>
      <w:r>
        <w:rPr>
          <w:rFonts w:hint="eastAsia" w:ascii="仿宋" w:hAnsi="仿宋" w:eastAsia="仿宋" w:cs="宋体"/>
          <w:sz w:val="32"/>
          <w:szCs w:val="32"/>
        </w:rPr>
        <w:t>在安排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使用各级</w:t>
      </w:r>
      <w:r>
        <w:rPr>
          <w:rFonts w:hint="eastAsia" w:ascii="仿宋" w:hAnsi="仿宋" w:eastAsia="仿宋" w:cs="宋体"/>
          <w:sz w:val="32"/>
          <w:szCs w:val="32"/>
        </w:rPr>
        <w:t>财政衔接推进乡村振资金时，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有重点的倾向于产业发展项目，</w:t>
      </w:r>
      <w:r>
        <w:rPr>
          <w:rFonts w:hint="eastAsia" w:ascii="仿宋" w:hAnsi="仿宋" w:eastAsia="仿宋" w:cs="宋体"/>
          <w:sz w:val="32"/>
          <w:szCs w:val="32"/>
        </w:rPr>
        <w:t>对202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唐河县“雨露计划”培训项目</w:t>
      </w:r>
      <w:r>
        <w:rPr>
          <w:rFonts w:hint="eastAsia" w:ascii="仿宋" w:hAnsi="仿宋" w:eastAsia="仿宋" w:cs="宋体"/>
          <w:sz w:val="32"/>
          <w:szCs w:val="32"/>
        </w:rPr>
        <w:t>、特色种植养殖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(个人实施）产业</w:t>
      </w:r>
      <w:r>
        <w:rPr>
          <w:rFonts w:hint="eastAsia" w:ascii="仿宋" w:hAnsi="仿宋" w:eastAsia="仿宋" w:cs="宋体"/>
          <w:sz w:val="32"/>
          <w:szCs w:val="32"/>
        </w:rPr>
        <w:t>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、政府购买村级公益岗服务</w:t>
      </w:r>
      <w:r>
        <w:rPr>
          <w:rFonts w:hint="eastAsia" w:ascii="仿宋" w:hAnsi="仿宋" w:eastAsia="仿宋" w:cs="宋体"/>
          <w:sz w:val="32"/>
          <w:szCs w:val="32"/>
        </w:rPr>
        <w:t>等评价“优”的项目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宋体"/>
          <w:sz w:val="32"/>
          <w:szCs w:val="32"/>
        </w:rPr>
        <w:t>优先安排使用资金，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安排实施</w:t>
      </w:r>
      <w:r>
        <w:rPr>
          <w:rFonts w:hint="eastAsia" w:ascii="仿宋" w:hAnsi="仿宋" w:eastAsia="仿宋"/>
          <w:sz w:val="32"/>
          <w:szCs w:val="32"/>
        </w:rPr>
        <w:t>的具体情况，经中共唐河县委农村工作领导小组研究确定，按照以下原则分配资金。</w:t>
      </w:r>
    </w:p>
    <w:p w14:paraId="0066BC69">
      <w:pPr>
        <w:pStyle w:val="2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（一）按照产业发展资金优先原则, 巩固拓展脱贫攻坚成果，壮大村集体经济为主。</w:t>
      </w:r>
    </w:p>
    <w:p w14:paraId="11228085">
      <w:pPr>
        <w:pStyle w:val="2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（二）保持政策稳定性，对雨露计划、农村低收入人口发展产业贷款贴息、促进就业等低收入人口增收项目优先安排资金。</w:t>
      </w:r>
    </w:p>
    <w:p w14:paraId="7F23A778">
      <w:pPr>
        <w:pStyle w:val="2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（三）遵照年度规划原则，确保资金对接项目不出项目库</w:t>
      </w:r>
    </w:p>
    <w:p w14:paraId="6EC01B94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三、资金分配情况（见附表）</w:t>
      </w:r>
    </w:p>
    <w:p w14:paraId="5235EF72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备注：每个具体项目建设情况由责任单位另行公告公示。</w:t>
      </w:r>
    </w:p>
    <w:p w14:paraId="2A41D8D7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监管单位：唐河县财政局   唐河县乡村振兴局   </w:t>
      </w:r>
    </w:p>
    <w:p w14:paraId="57AAC007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监督（咨询）电话：0377-68958030</w:t>
      </w:r>
    </w:p>
    <w:p w14:paraId="76D97F52">
      <w:pPr>
        <w:spacing w:line="540" w:lineRule="exact"/>
        <w:jc w:val="both"/>
        <w:rPr>
          <w:rStyle w:val="5"/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"mailto:thxfpzj@126.com"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32"/>
          <w:szCs w:val="32"/>
        </w:rPr>
        <w:t>thxfpzj@126.com</w:t>
      </w:r>
      <w:r>
        <w:rPr>
          <w:rStyle w:val="5"/>
          <w:rFonts w:hint="eastAsia" w:ascii="仿宋" w:hAnsi="仿宋" w:eastAsia="仿宋"/>
          <w:sz w:val="32"/>
          <w:szCs w:val="32"/>
        </w:rPr>
        <w:fldChar w:fldCharType="end"/>
      </w:r>
    </w:p>
    <w:p w14:paraId="43514EA3">
      <w:pPr>
        <w:spacing w:line="540" w:lineRule="exact"/>
        <w:jc w:val="both"/>
        <w:rPr>
          <w:rStyle w:val="5"/>
          <w:rFonts w:hint="eastAsia" w:ascii="仿宋" w:hAnsi="仿宋" w:eastAsia="仿宋"/>
          <w:sz w:val="32"/>
          <w:szCs w:val="32"/>
        </w:rPr>
      </w:pPr>
    </w:p>
    <w:p w14:paraId="7FC22EB3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唐河县财政局</w:t>
      </w:r>
    </w:p>
    <w:p w14:paraId="27E184CC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123E43DB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 w14:paraId="6D93A923">
      <w:pPr>
        <w:spacing w:line="540" w:lineRule="exact"/>
        <w:ind w:firstLine="4800" w:firstLineChars="1500"/>
        <w:jc w:val="both"/>
        <w:rPr>
          <w:rFonts w:ascii="仿宋" w:hAnsi="仿宋" w:eastAsia="仿宋"/>
          <w:sz w:val="32"/>
          <w:szCs w:val="32"/>
        </w:rPr>
      </w:pPr>
    </w:p>
    <w:p w14:paraId="0727C7EE">
      <w:pPr>
        <w:spacing w:line="54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 w14:paraId="7C883BE3">
      <w:pPr>
        <w:spacing w:line="54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 w14:paraId="61B11E40">
      <w:pPr>
        <w:spacing w:line="54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*SimSun-3685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dhZDNhMDA0MDk3NGQyYzEwOGQ3NDg5MmY3MjYyMjkifQ=="/>
  </w:docVars>
  <w:rsids>
    <w:rsidRoot w:val="00D31D50"/>
    <w:rsid w:val="000519E8"/>
    <w:rsid w:val="000B7276"/>
    <w:rsid w:val="000E5A17"/>
    <w:rsid w:val="00163910"/>
    <w:rsid w:val="00216EF9"/>
    <w:rsid w:val="0023403C"/>
    <w:rsid w:val="002C0748"/>
    <w:rsid w:val="00323B43"/>
    <w:rsid w:val="003707BF"/>
    <w:rsid w:val="003854F5"/>
    <w:rsid w:val="003C720A"/>
    <w:rsid w:val="003D37D8"/>
    <w:rsid w:val="003D5B80"/>
    <w:rsid w:val="00426133"/>
    <w:rsid w:val="004358AB"/>
    <w:rsid w:val="00494AF9"/>
    <w:rsid w:val="004B002B"/>
    <w:rsid w:val="006651D9"/>
    <w:rsid w:val="007007CE"/>
    <w:rsid w:val="007112DE"/>
    <w:rsid w:val="008B7726"/>
    <w:rsid w:val="008C41FE"/>
    <w:rsid w:val="008E6203"/>
    <w:rsid w:val="00904999"/>
    <w:rsid w:val="00945903"/>
    <w:rsid w:val="00961AD7"/>
    <w:rsid w:val="00991B77"/>
    <w:rsid w:val="0099271C"/>
    <w:rsid w:val="00A82E2B"/>
    <w:rsid w:val="00B0052F"/>
    <w:rsid w:val="00B95DF3"/>
    <w:rsid w:val="00D05B39"/>
    <w:rsid w:val="00D271FC"/>
    <w:rsid w:val="00D31D50"/>
    <w:rsid w:val="00E412CF"/>
    <w:rsid w:val="00E60BB7"/>
    <w:rsid w:val="00E937EE"/>
    <w:rsid w:val="00EB0AC6"/>
    <w:rsid w:val="00EC779D"/>
    <w:rsid w:val="00F0213C"/>
    <w:rsid w:val="00F73B3B"/>
    <w:rsid w:val="01104985"/>
    <w:rsid w:val="05047743"/>
    <w:rsid w:val="08167BBB"/>
    <w:rsid w:val="083F1313"/>
    <w:rsid w:val="09936AAA"/>
    <w:rsid w:val="099500A7"/>
    <w:rsid w:val="09CF027B"/>
    <w:rsid w:val="0A4C631C"/>
    <w:rsid w:val="0CF31B3A"/>
    <w:rsid w:val="0D2B78F4"/>
    <w:rsid w:val="0D8B5AC2"/>
    <w:rsid w:val="0F797B8F"/>
    <w:rsid w:val="0FC81177"/>
    <w:rsid w:val="0FE164C0"/>
    <w:rsid w:val="11927F9E"/>
    <w:rsid w:val="133002BE"/>
    <w:rsid w:val="1587691C"/>
    <w:rsid w:val="18632E08"/>
    <w:rsid w:val="18653927"/>
    <w:rsid w:val="2189633F"/>
    <w:rsid w:val="21B53E47"/>
    <w:rsid w:val="222C3ECA"/>
    <w:rsid w:val="224E76A9"/>
    <w:rsid w:val="242D6D3A"/>
    <w:rsid w:val="257E72B6"/>
    <w:rsid w:val="25912BC3"/>
    <w:rsid w:val="25DE10C6"/>
    <w:rsid w:val="25DF6304"/>
    <w:rsid w:val="275B723E"/>
    <w:rsid w:val="295757AC"/>
    <w:rsid w:val="29DC39AA"/>
    <w:rsid w:val="2A813F2A"/>
    <w:rsid w:val="2B342948"/>
    <w:rsid w:val="2BEA7ECF"/>
    <w:rsid w:val="32A026EC"/>
    <w:rsid w:val="331A2B04"/>
    <w:rsid w:val="35B16DC5"/>
    <w:rsid w:val="383E3DAB"/>
    <w:rsid w:val="38D139F2"/>
    <w:rsid w:val="38D6495D"/>
    <w:rsid w:val="3D162935"/>
    <w:rsid w:val="3E3A0D01"/>
    <w:rsid w:val="3F587BC8"/>
    <w:rsid w:val="40243700"/>
    <w:rsid w:val="42C6005D"/>
    <w:rsid w:val="42EC7387"/>
    <w:rsid w:val="45FF0E51"/>
    <w:rsid w:val="46C248CA"/>
    <w:rsid w:val="47192A7B"/>
    <w:rsid w:val="47F53ED9"/>
    <w:rsid w:val="4B3043DE"/>
    <w:rsid w:val="4B813CB5"/>
    <w:rsid w:val="52BF7459"/>
    <w:rsid w:val="57974DCD"/>
    <w:rsid w:val="59E37BAC"/>
    <w:rsid w:val="5D6F130A"/>
    <w:rsid w:val="600F23DC"/>
    <w:rsid w:val="616504AB"/>
    <w:rsid w:val="61FA65C3"/>
    <w:rsid w:val="62715869"/>
    <w:rsid w:val="66955F02"/>
    <w:rsid w:val="675B3741"/>
    <w:rsid w:val="68662ACF"/>
    <w:rsid w:val="688C6EA6"/>
    <w:rsid w:val="6A42204C"/>
    <w:rsid w:val="6EAD3CE6"/>
    <w:rsid w:val="6FAB00F3"/>
    <w:rsid w:val="713035E7"/>
    <w:rsid w:val="756261B5"/>
    <w:rsid w:val="792A4783"/>
    <w:rsid w:val="79F770B6"/>
    <w:rsid w:val="7A8D6012"/>
    <w:rsid w:val="7DD62836"/>
    <w:rsid w:val="7E4C0545"/>
    <w:rsid w:val="7F4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fontstyle01"/>
    <w:basedOn w:val="4"/>
    <w:qFormat/>
    <w:uiPriority w:val="0"/>
    <w:rPr>
      <w:rFonts w:hint="default" w:ascii="*SimSun-3685-Identity-H" w:hAnsi="*SimSun-3685-Identity-H"/>
      <w:color w:val="1D202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734</Characters>
  <Lines>5</Lines>
  <Paragraphs>1</Paragraphs>
  <TotalTime>6</TotalTime>
  <ScaleCrop>false</ScaleCrop>
  <LinksUpToDate>false</LinksUpToDate>
  <CharactersWithSpaces>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2024-09-04T00:34:14Z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DF4FA6166DA8469897C441AF1C17D948</vt:lpwstr>
  </property>
  <property fmtid="{D5CDD505-2E9C-101B-9397-08002B2CF9AE}" pid="4" name="commondata">
    <vt:lpwstr>eyJoZGlkIjoiYTMyMjg1M2Q3MzJiNTljYjA1M2MwNThiZjliZmJmYjEifQ==</vt:lpwstr>
  </property>
</Properties>
</file>