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40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资质审查意见</w:t>
      </w:r>
    </w:p>
    <w:tbl>
      <w:tblPr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980"/>
        <w:gridCol w:w="3405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企业名称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申报资质及等级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审查意见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河南夏焱交通设施有限公司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公路交通工程（公路安全设施分项、公路机电工程分项）专业承包贰级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河南固潭建筑工程有限公司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市政公用工程施工总承包贰级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防水防腐保温工程专业承包贰级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环保工程专业承包贰级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铸诚建设集团有限公司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钢结构工程专业承包贰级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建筑幕墙工程专业承包贰级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环保工程专业承包贰级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电子与智能化工程专业承包贰级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输变电工程专业承包贰级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城市及道路照明工程专业承包贰级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sans-serif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6A65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2024-06-14T01:51:34Z</dcterms:created>
  <dc:creator>Administrator</dc:creator>
  <cp:lastModifiedBy>闻风知露</cp:lastModifiedBy>
  <dcterms:modified xsi:type="dcterms:W3CDTF">2024-06-14T01:51:50Z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2052-12.1.0.16929</vt:lpwstr>
  </property>
  <property fmtid="{D5CDD505-2E9C-101B-9397-08002B2CF9AE}" pid="3" name="ICV">
    <vt:lpwstr>ADA2B12DD06547D688DD8CA353E018F6_12</vt:lpwstr>
  </property>
</Properties>
</file>