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8</w:t>
      </w:r>
    </w:p>
    <w:p>
      <w:pPr>
        <w:pStyle w:val="4"/>
        <w:ind w:left="0" w:leftChars="0" w:firstLine="0" w:firstLineChars="0"/>
        <w:jc w:val="center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唐河县城区积水点分布图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drawing>
          <wp:inline distT="0" distB="0" distL="114300" distR="114300">
            <wp:extent cx="5422900" cy="4646295"/>
            <wp:effectExtent l="0" t="0" r="6350" b="190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snapToGrid/>
          <w:color w:val="000000"/>
          <w:kern w:val="2"/>
          <w:sz w:val="24"/>
          <w:szCs w:val="24"/>
          <w:highlight w:val="none"/>
          <w:u w:val="none"/>
          <w:vertAlign w:val="baseline"/>
          <w:lang w:val="en-US" w:eastAsia="zh-CN" w:bidi="ar-SA"/>
        </w:rPr>
        <w:t>①友兰大道与澄源路交叉口加油站后；②友兰大道掌上明珠；③友兰大道与新华路交叉口路北一支渠、泗洲派出所；④友兰大道与新春路交叉口东、北侧；⑤友兰大道与星江路交叉口西北角右转道；⑥滨河路（绿汀花园-银花路）；⑦文峰路与解放路口东侧；⑧文峰路与黉学路交叉口；⑨文峰路与建设路交叉口（文峰街道办）；⑩北京大道与新春路交叉口；⑪北京大道（澄源路-上马路）；⑫盛居路（文峰路-星江路）；⑬唐飞路（盛居路-工业路）；⑭工业路（唐城家园小区、新华路-旭生路）；⑮星江路铁路桥；⑯旭生路铁路桥；⑰文峰路铁路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29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2024-03-26T02:02:37Z</dcterms:created>
  <dc:creator>Administrator</dc:creator>
  <cp:lastModifiedBy>闻风知露</cp:lastModifiedBy>
  <dcterms:modified xsi:type="dcterms:W3CDTF">2024-03-26T02:03:10Z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50453167838A4DB59C187155328BBF57_12</vt:lpwstr>
  </property>
</Properties>
</file>