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wordWrap/>
        <w:topLinePunct w:val="0"/>
        <w:autoSpaceDE/>
        <w:autoSpaceDN/>
        <w:bidi w:val="0"/>
        <w:spacing w:before="0" w:beforeAutospacing="0" w:after="0" w:afterAutospacing="0" w:line="600" w:lineRule="exact"/>
        <w:ind w:left="0" w:right="0"/>
        <w:jc w:val="center"/>
        <w:textAlignment w:val="auto"/>
        <w:rPr>
          <w:rFonts w:hint="eastAsia" w:ascii="仿宋_GB2312" w:hAnsi="华文细黑" w:eastAsia="仿宋_GB2312"/>
          <w:b/>
          <w:color w:val="000000"/>
          <w:sz w:val="36"/>
          <w:szCs w:val="36"/>
        </w:rPr>
      </w:pPr>
      <w:r>
        <w:rPr>
          <w:rFonts w:hint="eastAsia" w:ascii="黑体" w:hAnsi="黑体" w:eastAsia="黑体" w:cs="黑体"/>
          <w:sz w:val="44"/>
          <w:szCs w:val="44"/>
        </w:rPr>
        <w:t>2022年</w:t>
      </w:r>
      <w:r>
        <w:rPr>
          <w:rFonts w:hint="eastAsia" w:ascii="黑体" w:hAnsi="黑体" w:eastAsia="黑体" w:cs="黑体"/>
          <w:b/>
          <w:color w:val="000000"/>
          <w:sz w:val="44"/>
          <w:szCs w:val="44"/>
        </w:rPr>
        <w:t>唐河县交通运输局</w:t>
      </w:r>
      <w:r>
        <w:rPr>
          <w:rFonts w:hint="eastAsia" w:ascii="黑体" w:hAnsi="黑体" w:eastAsia="黑体" w:cs="黑体"/>
          <w:b/>
          <w:color w:val="000000"/>
          <w:sz w:val="44"/>
          <w:szCs w:val="44"/>
          <w:lang w:val="en-US" w:eastAsia="zh-CN"/>
        </w:rPr>
        <w:t>本级</w:t>
      </w:r>
      <w:r>
        <w:rPr>
          <w:rFonts w:hint="eastAsia" w:ascii="黑体" w:hAnsi="黑体" w:eastAsia="黑体" w:cs="黑体"/>
          <w:b/>
          <w:color w:val="000000"/>
          <w:sz w:val="44"/>
          <w:szCs w:val="44"/>
        </w:rPr>
        <w:t>预算公开说明</w:t>
      </w:r>
    </w:p>
    <w:p>
      <w:pPr>
        <w:keepNext w:val="0"/>
        <w:keepLines w:val="0"/>
        <w:pageBreakBefore w:val="0"/>
        <w:kinsoku w:val="0"/>
        <w:wordWrap/>
        <w:overflowPunct w:val="0"/>
        <w:topLinePunct w:val="0"/>
        <w:autoSpaceDE/>
        <w:autoSpaceDN/>
        <w:bidi w:val="0"/>
        <w:adjustRightInd w:val="0"/>
        <w:snapToGrid w:val="0"/>
        <w:spacing w:beforeAutospacing="0" w:afterAutospacing="0" w:line="600" w:lineRule="exact"/>
        <w:ind w:left="0" w:right="0" w:firstLine="22" w:firstLineChars="7"/>
        <w:jc w:val="center"/>
        <w:textAlignment w:val="auto"/>
        <w:rPr>
          <w:rFonts w:hint="eastAsia" w:ascii="黑体" w:hAnsi="Times New Roman" w:eastAsia="黑体" w:cs="黑体"/>
          <w:sz w:val="32"/>
          <w:szCs w:val="32"/>
        </w:rPr>
      </w:pPr>
    </w:p>
    <w:p>
      <w:pPr>
        <w:keepNext w:val="0"/>
        <w:keepLines w:val="0"/>
        <w:pageBreakBefore w:val="0"/>
        <w:kinsoku w:val="0"/>
        <w:wordWrap/>
        <w:overflowPunct w:val="0"/>
        <w:topLinePunct w:val="0"/>
        <w:autoSpaceDE/>
        <w:autoSpaceDN/>
        <w:bidi w:val="0"/>
        <w:adjustRightInd w:val="0"/>
        <w:snapToGrid w:val="0"/>
        <w:spacing w:beforeAutospacing="0" w:afterAutospacing="0" w:line="600" w:lineRule="exact"/>
        <w:ind w:left="0" w:right="0" w:firstLine="22" w:firstLineChars="7"/>
        <w:jc w:val="center"/>
        <w:textAlignment w:val="auto"/>
        <w:rPr>
          <w:rFonts w:ascii="黑体" w:hAnsi="Times New Roman" w:eastAsia="黑体" w:cs="黑体"/>
          <w:sz w:val="32"/>
          <w:szCs w:val="32"/>
        </w:rPr>
      </w:pPr>
      <w:r>
        <w:rPr>
          <w:rFonts w:hint="eastAsia" w:ascii="黑体" w:hAnsi="Times New Roman" w:eastAsia="黑体" w:cs="黑体"/>
          <w:sz w:val="32"/>
          <w:szCs w:val="32"/>
        </w:rPr>
        <w:t>目</w:t>
      </w:r>
      <w:r>
        <w:rPr>
          <w:rFonts w:ascii="黑体" w:hAnsi="Times New Roman" w:eastAsia="黑体" w:cs="黑体"/>
          <w:spacing w:val="2"/>
          <w:sz w:val="32"/>
          <w:szCs w:val="32"/>
        </w:rPr>
        <w:t xml:space="preserve"> </w:t>
      </w:r>
      <w:r>
        <w:rPr>
          <w:rFonts w:hint="eastAsia" w:ascii="黑体" w:hAnsi="Times New Roman" w:eastAsia="黑体" w:cs="黑体"/>
          <w:sz w:val="32"/>
          <w:szCs w:val="32"/>
        </w:rPr>
        <w:t>录</w:t>
      </w:r>
    </w:p>
    <w:p>
      <w:pPr>
        <w:keepNext w:val="0"/>
        <w:keepLines w:val="0"/>
        <w:pageBreakBefore w:val="0"/>
        <w:kinsoku w:val="0"/>
        <w:wordWrap/>
        <w:overflowPunct w:val="0"/>
        <w:topLinePunct w:val="0"/>
        <w:autoSpaceDE/>
        <w:autoSpaceDN/>
        <w:bidi w:val="0"/>
        <w:adjustRightInd w:val="0"/>
        <w:snapToGrid w:val="0"/>
        <w:spacing w:beforeAutospacing="0" w:afterAutospacing="0" w:line="600" w:lineRule="exact"/>
        <w:ind w:left="0" w:right="0" w:firstLine="640" w:firstLineChars="200"/>
        <w:textAlignment w:val="auto"/>
        <w:rPr>
          <w:rFonts w:ascii="黑体" w:hAnsi="Times New Roman" w:eastAsia="黑体" w:cs="黑体"/>
          <w:w w:val="99"/>
          <w:sz w:val="32"/>
          <w:szCs w:val="32"/>
        </w:rPr>
      </w:pPr>
      <w:r>
        <w:rPr>
          <w:rFonts w:hint="eastAsia" w:ascii="黑体" w:hAnsi="Times New Roman" w:eastAsia="黑体" w:cs="黑体"/>
          <w:sz w:val="32"/>
          <w:szCs w:val="32"/>
        </w:rPr>
        <w:t>第一部分</w:t>
      </w:r>
      <w:r>
        <w:rPr>
          <w:rFonts w:ascii="黑体" w:hAnsi="Times New Roman" w:eastAsia="黑体" w:cs="黑体"/>
          <w:sz w:val="32"/>
          <w:szCs w:val="32"/>
        </w:rPr>
        <w:t xml:space="preserve"> </w:t>
      </w:r>
      <w:r>
        <w:rPr>
          <w:rFonts w:hint="eastAsia" w:ascii="黑体" w:hAnsi="黑体" w:eastAsia="黑体"/>
          <w:sz w:val="32"/>
          <w:szCs w:val="32"/>
        </w:rPr>
        <w:t>唐河县交通运输局概况</w:t>
      </w:r>
      <w:r>
        <w:rPr>
          <w:rFonts w:ascii="黑体" w:hAnsi="Times New Roman" w:eastAsia="黑体" w:cs="黑体"/>
          <w:w w:val="99"/>
          <w:sz w:val="32"/>
          <w:szCs w:val="32"/>
        </w:rPr>
        <w:t xml:space="preserve"> </w:t>
      </w:r>
    </w:p>
    <w:p>
      <w:pPr>
        <w:keepNext w:val="0"/>
        <w:keepLines w:val="0"/>
        <w:pageBreakBefore w:val="0"/>
        <w:kinsoku w:val="0"/>
        <w:wordWrap/>
        <w:overflowPunct w:val="0"/>
        <w:topLinePunct w:val="0"/>
        <w:autoSpaceDE/>
        <w:autoSpaceDN/>
        <w:bidi w:val="0"/>
        <w:adjustRightInd w:val="0"/>
        <w:snapToGrid w:val="0"/>
        <w:spacing w:beforeAutospacing="0" w:afterAutospacing="0" w:line="600" w:lineRule="exact"/>
        <w:ind w:left="0" w:right="0" w:firstLine="640" w:firstLineChars="200"/>
        <w:jc w:val="left"/>
        <w:textAlignment w:val="auto"/>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一、主要职能</w:t>
      </w:r>
    </w:p>
    <w:p>
      <w:pPr>
        <w:pStyle w:val="14"/>
        <w:keepNext w:val="0"/>
        <w:keepLines w:val="0"/>
        <w:widowControl w:val="0"/>
        <w:shd w:val="clear" w:color="auto" w:fill="auto"/>
        <w:tabs>
          <w:tab w:val="left" w:pos="1653"/>
        </w:tabs>
        <w:bidi w:val="0"/>
        <w:spacing w:before="0" w:line="240" w:lineRule="auto"/>
        <w:ind w:right="0" w:firstLine="640" w:firstLineChars="200"/>
        <w:jc w:val="left"/>
        <w:rPr>
          <w:rFonts w:hint="eastAsia" w:ascii="仿宋_GB2312" w:hAnsi="Times New Roman" w:eastAsia="仿宋_GB2312" w:cs="仿宋_GB2312"/>
          <w:kern w:val="2"/>
          <w:sz w:val="32"/>
          <w:szCs w:val="32"/>
          <w:u w:val="none"/>
          <w:shd w:val="clear" w:color="auto" w:fill="auto"/>
          <w:lang w:val="en-US" w:eastAsia="zh-CN" w:bidi="ar-SA"/>
        </w:rPr>
      </w:pPr>
      <w:r>
        <w:rPr>
          <w:rFonts w:hint="eastAsia" w:ascii="仿宋_GB2312" w:hAnsi="Times New Roman" w:eastAsia="仿宋_GB2312" w:cs="仿宋_GB2312"/>
          <w:sz w:val="32"/>
          <w:szCs w:val="32"/>
          <w:lang w:val="en-US" w:eastAsia="zh-CN"/>
        </w:rPr>
        <w:t>二、</w:t>
      </w:r>
      <w:r>
        <w:rPr>
          <w:rFonts w:hint="eastAsia" w:ascii="仿宋_GB2312" w:hAnsi="Times New Roman" w:eastAsia="仿宋_GB2312" w:cs="仿宋_GB2312"/>
          <w:kern w:val="2"/>
          <w:sz w:val="32"/>
          <w:szCs w:val="32"/>
          <w:u w:val="none"/>
          <w:shd w:val="clear" w:color="auto" w:fill="auto"/>
          <w:lang w:val="en-US" w:eastAsia="zh-CN" w:bidi="ar-SA"/>
        </w:rPr>
        <w:t>内设机构设置情况</w:t>
      </w:r>
    </w:p>
    <w:p>
      <w:pPr>
        <w:pStyle w:val="14"/>
        <w:keepNext w:val="0"/>
        <w:keepLines w:val="0"/>
        <w:widowControl w:val="0"/>
        <w:shd w:val="clear" w:color="auto" w:fill="auto"/>
        <w:tabs>
          <w:tab w:val="left" w:pos="1653"/>
        </w:tabs>
        <w:bidi w:val="0"/>
        <w:spacing w:before="0" w:line="240" w:lineRule="auto"/>
        <w:ind w:right="0"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三</w:t>
      </w:r>
      <w:r>
        <w:rPr>
          <w:rFonts w:hint="eastAsia" w:ascii="仿宋_GB2312" w:hAnsi="Times New Roman" w:eastAsia="仿宋_GB2312" w:cs="仿宋_GB2312"/>
          <w:sz w:val="32"/>
          <w:szCs w:val="32"/>
        </w:rPr>
        <w:t>、部门预算单位构成</w:t>
      </w:r>
    </w:p>
    <w:p>
      <w:pPr>
        <w:keepNext w:val="0"/>
        <w:keepLines w:val="0"/>
        <w:pageBreakBefore w:val="0"/>
        <w:kinsoku w:val="0"/>
        <w:wordWrap/>
        <w:overflowPunct w:val="0"/>
        <w:topLinePunct w:val="0"/>
        <w:autoSpaceDE/>
        <w:autoSpaceDN/>
        <w:bidi w:val="0"/>
        <w:adjustRightInd w:val="0"/>
        <w:snapToGrid w:val="0"/>
        <w:spacing w:beforeAutospacing="0" w:afterAutospacing="0" w:line="600" w:lineRule="exact"/>
        <w:ind w:left="0" w:right="0" w:firstLine="640" w:firstLineChars="200"/>
        <w:textAlignment w:val="auto"/>
        <w:rPr>
          <w:rFonts w:ascii="黑体" w:hAnsi="Times New Roman" w:eastAsia="黑体" w:cs="黑体"/>
          <w:w w:val="99"/>
          <w:sz w:val="32"/>
          <w:szCs w:val="32"/>
        </w:rPr>
      </w:pPr>
      <w:r>
        <w:rPr>
          <w:rFonts w:hint="eastAsia" w:ascii="黑体" w:hAnsi="Times New Roman" w:eastAsia="黑体" w:cs="黑体"/>
          <w:sz w:val="32"/>
          <w:szCs w:val="32"/>
        </w:rPr>
        <w:t>第二部分 唐河县交通运输局2022年</w:t>
      </w:r>
      <w:r>
        <w:rPr>
          <w:rFonts w:hint="eastAsia" w:ascii="黑体" w:hAnsi="Times New Roman" w:eastAsia="黑体" w:cs="黑体"/>
          <w:sz w:val="32"/>
          <w:szCs w:val="32"/>
          <w:lang w:val="en-US" w:eastAsia="zh-CN"/>
        </w:rPr>
        <w:t>本级</w:t>
      </w:r>
      <w:r>
        <w:rPr>
          <w:rFonts w:hint="eastAsia" w:ascii="黑体" w:hAnsi="Times New Roman" w:eastAsia="黑体" w:cs="黑体"/>
          <w:sz w:val="32"/>
          <w:szCs w:val="32"/>
        </w:rPr>
        <w:t>预算情况说明</w:t>
      </w:r>
      <w:r>
        <w:rPr>
          <w:rFonts w:ascii="黑体" w:hAnsi="Times New Roman" w:eastAsia="黑体" w:cs="黑体"/>
          <w:w w:val="99"/>
          <w:sz w:val="32"/>
          <w:szCs w:val="32"/>
        </w:rPr>
        <w:t xml:space="preserve"> </w:t>
      </w:r>
    </w:p>
    <w:p>
      <w:pPr>
        <w:keepNext w:val="0"/>
        <w:keepLines w:val="0"/>
        <w:pageBreakBefore w:val="0"/>
        <w:kinsoku w:val="0"/>
        <w:wordWrap/>
        <w:overflowPunct w:val="0"/>
        <w:topLinePunct w:val="0"/>
        <w:autoSpaceDE/>
        <w:autoSpaceDN/>
        <w:bidi w:val="0"/>
        <w:adjustRightInd w:val="0"/>
        <w:snapToGrid w:val="0"/>
        <w:spacing w:beforeAutospacing="0" w:afterAutospacing="0" w:line="600" w:lineRule="exact"/>
        <w:ind w:left="0" w:right="0" w:firstLine="640" w:firstLineChars="200"/>
        <w:textAlignment w:val="auto"/>
        <w:rPr>
          <w:rFonts w:ascii="黑体" w:hAnsi="Times New Roman" w:eastAsia="黑体" w:cs="黑体"/>
          <w:sz w:val="32"/>
          <w:szCs w:val="32"/>
        </w:rPr>
      </w:pPr>
      <w:r>
        <w:rPr>
          <w:rFonts w:hint="eastAsia" w:ascii="黑体" w:hAnsi="Times New Roman" w:eastAsia="黑体" w:cs="黑体"/>
          <w:sz w:val="32"/>
          <w:szCs w:val="32"/>
        </w:rPr>
        <w:t>第三部分</w:t>
      </w:r>
      <w:r>
        <w:rPr>
          <w:rFonts w:ascii="黑体" w:hAnsi="Times New Roman" w:eastAsia="黑体" w:cs="黑体"/>
          <w:spacing w:val="-32"/>
          <w:sz w:val="32"/>
          <w:szCs w:val="32"/>
        </w:rPr>
        <w:t xml:space="preserve"> </w:t>
      </w:r>
      <w:r>
        <w:rPr>
          <w:rFonts w:hint="eastAsia" w:ascii="黑体" w:hAnsi="Times New Roman" w:eastAsia="黑体" w:cs="黑体"/>
          <w:sz w:val="32"/>
          <w:szCs w:val="32"/>
        </w:rPr>
        <w:t>名词解释</w:t>
      </w:r>
    </w:p>
    <w:p>
      <w:pPr>
        <w:keepNext w:val="0"/>
        <w:keepLines w:val="0"/>
        <w:pageBreakBefore w:val="0"/>
        <w:kinsoku w:val="0"/>
        <w:wordWrap/>
        <w:overflowPunct w:val="0"/>
        <w:topLinePunct w:val="0"/>
        <w:autoSpaceDE/>
        <w:autoSpaceDN/>
        <w:bidi w:val="0"/>
        <w:adjustRightInd w:val="0"/>
        <w:snapToGrid w:val="0"/>
        <w:spacing w:beforeAutospacing="0" w:afterAutospacing="0" w:line="600" w:lineRule="exact"/>
        <w:ind w:left="0" w:right="0" w:firstLine="640" w:firstLineChars="200"/>
        <w:textAlignment w:val="auto"/>
        <w:rPr>
          <w:rFonts w:ascii="黑体" w:hAnsi="Times New Roman" w:eastAsia="黑体" w:cs="黑体"/>
          <w:sz w:val="32"/>
          <w:szCs w:val="32"/>
        </w:rPr>
      </w:pPr>
      <w:r>
        <w:rPr>
          <w:rFonts w:hint="eastAsia" w:ascii="黑体" w:hAnsi="Times New Roman" w:eastAsia="黑体" w:cs="黑体"/>
          <w:sz w:val="32"/>
          <w:szCs w:val="32"/>
        </w:rPr>
        <w:t>附件：</w:t>
      </w:r>
      <w:r>
        <w:rPr>
          <w:rFonts w:hint="eastAsia" w:ascii="黑体" w:hAnsi="黑体" w:eastAsia="黑体"/>
          <w:sz w:val="32"/>
          <w:szCs w:val="32"/>
        </w:rPr>
        <w:t>唐河县交通运输局</w:t>
      </w:r>
      <w:r>
        <w:rPr>
          <w:rFonts w:hint="eastAsia" w:ascii="黑体" w:hAnsi="Times New Roman" w:eastAsia="黑体" w:cs="黑体"/>
          <w:sz w:val="32"/>
          <w:szCs w:val="32"/>
        </w:rPr>
        <w:t>2022年</w:t>
      </w:r>
      <w:r>
        <w:rPr>
          <w:rFonts w:hint="eastAsia" w:ascii="黑体" w:hAnsi="Times New Roman" w:eastAsia="黑体" w:cs="黑体"/>
          <w:sz w:val="32"/>
          <w:szCs w:val="32"/>
          <w:lang w:val="en-US" w:eastAsia="zh-CN"/>
        </w:rPr>
        <w:t>本级</w:t>
      </w:r>
      <w:r>
        <w:rPr>
          <w:rFonts w:hint="eastAsia" w:ascii="黑体" w:hAnsi="Times New Roman" w:eastAsia="黑体" w:cs="黑体"/>
          <w:sz w:val="32"/>
          <w:szCs w:val="32"/>
        </w:rPr>
        <w:t>预算表</w:t>
      </w:r>
    </w:p>
    <w:p>
      <w:pPr>
        <w:keepNext w:val="0"/>
        <w:keepLines w:val="0"/>
        <w:pageBreakBefore w:val="0"/>
        <w:widowControl/>
        <w:suppressLineNumbers w:val="0"/>
        <w:wordWrap/>
        <w:topLinePunct w:val="0"/>
        <w:autoSpaceDE/>
        <w:autoSpaceDN/>
        <w:bidi w:val="0"/>
        <w:spacing w:beforeAutospacing="0" w:afterAutospacing="0" w:line="600" w:lineRule="exact"/>
        <w:ind w:left="0" w:right="0" w:firstLine="620" w:firstLineChars="200"/>
        <w:jc w:val="left"/>
        <w:textAlignment w:val="auto"/>
      </w:pPr>
      <w:r>
        <w:rPr>
          <w:rFonts w:ascii="仿宋" w:hAnsi="仿宋" w:eastAsia="仿宋" w:cs="仿宋"/>
          <w:color w:val="000000"/>
          <w:kern w:val="0"/>
          <w:sz w:val="31"/>
          <w:szCs w:val="31"/>
          <w:lang w:val="en-US" w:eastAsia="zh-CN" w:bidi="ar"/>
        </w:rPr>
        <w:t xml:space="preserve">一、部门收支总体情况表 </w:t>
      </w:r>
    </w:p>
    <w:p>
      <w:pPr>
        <w:keepNext w:val="0"/>
        <w:keepLines w:val="0"/>
        <w:pageBreakBefore w:val="0"/>
        <w:widowControl/>
        <w:suppressLineNumbers w:val="0"/>
        <w:wordWrap/>
        <w:topLinePunct w:val="0"/>
        <w:autoSpaceDE/>
        <w:autoSpaceDN/>
        <w:bidi w:val="0"/>
        <w:spacing w:beforeAutospacing="0" w:afterAutospacing="0" w:line="600" w:lineRule="exact"/>
        <w:ind w:left="0" w:right="0" w:firstLine="620" w:firstLineChars="200"/>
        <w:jc w:val="left"/>
        <w:textAlignment w:val="auto"/>
      </w:pPr>
      <w:r>
        <w:rPr>
          <w:rFonts w:hint="eastAsia" w:ascii="仿宋" w:hAnsi="仿宋" w:eastAsia="仿宋" w:cs="仿宋"/>
          <w:color w:val="000000"/>
          <w:kern w:val="0"/>
          <w:sz w:val="31"/>
          <w:szCs w:val="31"/>
          <w:lang w:val="en-US" w:eastAsia="zh-CN" w:bidi="ar"/>
        </w:rPr>
        <w:t xml:space="preserve">二、部门收入总体情况表 </w:t>
      </w:r>
    </w:p>
    <w:p>
      <w:pPr>
        <w:keepNext w:val="0"/>
        <w:keepLines w:val="0"/>
        <w:pageBreakBefore w:val="0"/>
        <w:widowControl/>
        <w:suppressLineNumbers w:val="0"/>
        <w:wordWrap/>
        <w:topLinePunct w:val="0"/>
        <w:autoSpaceDE/>
        <w:autoSpaceDN/>
        <w:bidi w:val="0"/>
        <w:spacing w:beforeAutospacing="0" w:afterAutospacing="0" w:line="600" w:lineRule="exact"/>
        <w:ind w:left="0" w:right="0" w:firstLine="620" w:firstLineChars="200"/>
        <w:jc w:val="left"/>
        <w:textAlignment w:val="auto"/>
      </w:pPr>
      <w:r>
        <w:rPr>
          <w:rFonts w:hint="eastAsia" w:ascii="仿宋" w:hAnsi="仿宋" w:eastAsia="仿宋" w:cs="仿宋"/>
          <w:color w:val="000000"/>
          <w:kern w:val="0"/>
          <w:sz w:val="31"/>
          <w:szCs w:val="31"/>
          <w:lang w:val="en-US" w:eastAsia="zh-CN" w:bidi="ar"/>
        </w:rPr>
        <w:t xml:space="preserve">三、部门支出总体情况表 </w:t>
      </w:r>
    </w:p>
    <w:p>
      <w:pPr>
        <w:keepNext w:val="0"/>
        <w:keepLines w:val="0"/>
        <w:pageBreakBefore w:val="0"/>
        <w:widowControl/>
        <w:suppressLineNumbers w:val="0"/>
        <w:wordWrap/>
        <w:topLinePunct w:val="0"/>
        <w:autoSpaceDE/>
        <w:autoSpaceDN/>
        <w:bidi w:val="0"/>
        <w:spacing w:beforeAutospacing="0" w:afterAutospacing="0" w:line="600" w:lineRule="exact"/>
        <w:ind w:left="0" w:right="0" w:firstLine="620" w:firstLineChars="200"/>
        <w:jc w:val="left"/>
        <w:textAlignment w:val="auto"/>
      </w:pPr>
      <w:r>
        <w:rPr>
          <w:rFonts w:hint="eastAsia" w:ascii="仿宋" w:hAnsi="仿宋" w:eastAsia="仿宋" w:cs="仿宋"/>
          <w:color w:val="000000"/>
          <w:kern w:val="0"/>
          <w:sz w:val="31"/>
          <w:szCs w:val="31"/>
          <w:lang w:val="en-US" w:eastAsia="zh-CN" w:bidi="ar"/>
        </w:rPr>
        <w:t xml:space="preserve">四、财政拨款收支总体情况表 </w:t>
      </w:r>
    </w:p>
    <w:p>
      <w:pPr>
        <w:keepNext w:val="0"/>
        <w:keepLines w:val="0"/>
        <w:pageBreakBefore w:val="0"/>
        <w:widowControl/>
        <w:suppressLineNumbers w:val="0"/>
        <w:wordWrap/>
        <w:topLinePunct w:val="0"/>
        <w:autoSpaceDE/>
        <w:autoSpaceDN/>
        <w:bidi w:val="0"/>
        <w:spacing w:beforeAutospacing="0" w:afterAutospacing="0" w:line="600" w:lineRule="exact"/>
        <w:ind w:left="0" w:right="0" w:firstLine="620" w:firstLineChars="200"/>
        <w:jc w:val="left"/>
        <w:textAlignment w:val="auto"/>
      </w:pPr>
      <w:r>
        <w:rPr>
          <w:rFonts w:hint="eastAsia" w:ascii="仿宋" w:hAnsi="仿宋" w:eastAsia="仿宋" w:cs="仿宋"/>
          <w:color w:val="000000"/>
          <w:kern w:val="0"/>
          <w:sz w:val="31"/>
          <w:szCs w:val="31"/>
          <w:lang w:val="en-US" w:eastAsia="zh-CN" w:bidi="ar"/>
        </w:rPr>
        <w:t xml:space="preserve">五、一般公共预算支出情况表 </w:t>
      </w:r>
    </w:p>
    <w:p>
      <w:pPr>
        <w:keepNext w:val="0"/>
        <w:keepLines w:val="0"/>
        <w:pageBreakBefore w:val="0"/>
        <w:widowControl/>
        <w:suppressLineNumbers w:val="0"/>
        <w:wordWrap/>
        <w:topLinePunct w:val="0"/>
        <w:autoSpaceDE/>
        <w:autoSpaceDN/>
        <w:bidi w:val="0"/>
        <w:spacing w:beforeAutospacing="0" w:afterAutospacing="0" w:line="600" w:lineRule="exact"/>
        <w:ind w:left="0" w:right="0"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六、一般公共预算基本支出情况表 </w:t>
      </w:r>
    </w:p>
    <w:p>
      <w:pPr>
        <w:keepNext w:val="0"/>
        <w:keepLines w:val="0"/>
        <w:pageBreakBefore w:val="0"/>
        <w:widowControl/>
        <w:suppressLineNumbers w:val="0"/>
        <w:wordWrap/>
        <w:topLinePunct w:val="0"/>
        <w:autoSpaceDE/>
        <w:autoSpaceDN/>
        <w:bidi w:val="0"/>
        <w:spacing w:beforeAutospacing="0" w:afterAutospacing="0" w:line="600" w:lineRule="exact"/>
        <w:ind w:left="0" w:right="0"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七、一般公共预算“三公”经费支出情况表</w:t>
      </w:r>
    </w:p>
    <w:p>
      <w:pPr>
        <w:keepNext w:val="0"/>
        <w:keepLines w:val="0"/>
        <w:pageBreakBefore w:val="0"/>
        <w:widowControl/>
        <w:suppressLineNumbers w:val="0"/>
        <w:wordWrap/>
        <w:topLinePunct w:val="0"/>
        <w:autoSpaceDE/>
        <w:autoSpaceDN/>
        <w:bidi w:val="0"/>
        <w:spacing w:beforeAutospacing="0" w:afterAutospacing="0" w:line="600" w:lineRule="exact"/>
        <w:ind w:left="0" w:right="0"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八、政府性基金预算支出情况表</w:t>
      </w:r>
    </w:p>
    <w:p>
      <w:pPr>
        <w:keepNext w:val="0"/>
        <w:keepLines w:val="0"/>
        <w:pageBreakBefore w:val="0"/>
        <w:widowControl/>
        <w:suppressLineNumbers w:val="0"/>
        <w:wordWrap/>
        <w:topLinePunct w:val="0"/>
        <w:autoSpaceDE/>
        <w:autoSpaceDN/>
        <w:bidi w:val="0"/>
        <w:spacing w:beforeAutospacing="0" w:afterAutospacing="0" w:line="600" w:lineRule="exact"/>
        <w:ind w:left="0" w:right="0" w:firstLine="620" w:firstLineChars="200"/>
        <w:jc w:val="left"/>
        <w:textAlignment w:val="auto"/>
        <w:rPr>
          <w:rFonts w:hint="default"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九、项目支出表</w:t>
      </w:r>
    </w:p>
    <w:p>
      <w:pPr>
        <w:keepNext w:val="0"/>
        <w:keepLines w:val="0"/>
        <w:pageBreakBefore w:val="0"/>
        <w:widowControl/>
        <w:suppressLineNumbers w:val="0"/>
        <w:wordWrap/>
        <w:topLinePunct w:val="0"/>
        <w:autoSpaceDE/>
        <w:autoSpaceDN/>
        <w:bidi w:val="0"/>
        <w:spacing w:beforeAutospacing="0" w:afterAutospacing="0" w:line="600" w:lineRule="exact"/>
        <w:ind w:left="0" w:right="0"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十、部门（单位）整体绩效目标表</w:t>
      </w:r>
    </w:p>
    <w:p>
      <w:pPr>
        <w:keepNext w:val="0"/>
        <w:keepLines w:val="0"/>
        <w:pageBreakBefore w:val="0"/>
        <w:widowControl/>
        <w:suppressLineNumbers w:val="0"/>
        <w:wordWrap/>
        <w:topLinePunct w:val="0"/>
        <w:autoSpaceDE/>
        <w:autoSpaceDN/>
        <w:bidi w:val="0"/>
        <w:spacing w:beforeAutospacing="0" w:afterAutospacing="0" w:line="600" w:lineRule="exact"/>
        <w:ind w:left="0" w:right="0"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十一、部门预算项目绩效目标汇总表</w:t>
      </w:r>
    </w:p>
    <w:p>
      <w:pPr>
        <w:keepNext w:val="0"/>
        <w:keepLines w:val="0"/>
        <w:pageBreakBefore w:val="0"/>
        <w:widowControl/>
        <w:suppressLineNumbers w:val="0"/>
        <w:wordWrap/>
        <w:topLinePunct w:val="0"/>
        <w:autoSpaceDE/>
        <w:autoSpaceDN/>
        <w:bidi w:val="0"/>
        <w:spacing w:beforeAutospacing="0" w:afterAutospacing="0" w:line="600" w:lineRule="exact"/>
        <w:ind w:left="0" w:right="0" w:firstLine="620" w:firstLineChars="200"/>
        <w:jc w:val="left"/>
        <w:textAlignment w:val="auto"/>
        <w:rPr>
          <w:rFonts w:hint="default"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十二、支出经济分类汇总表</w:t>
      </w:r>
    </w:p>
    <w:p>
      <w:pPr>
        <w:adjustRightInd w:val="0"/>
        <w:snapToGrid w:val="0"/>
        <w:spacing w:line="360" w:lineRule="auto"/>
        <w:jc w:val="both"/>
        <w:rPr>
          <w:rFonts w:hint="eastAsia" w:ascii="黑体" w:hAnsi="黑体" w:eastAsia="黑体"/>
          <w:sz w:val="32"/>
          <w:szCs w:val="32"/>
        </w:rPr>
      </w:pPr>
    </w:p>
    <w:p>
      <w:pPr>
        <w:adjustRightInd w:val="0"/>
        <w:snapToGrid w:val="0"/>
        <w:spacing w:line="360" w:lineRule="auto"/>
        <w:jc w:val="center"/>
        <w:rPr>
          <w:rFonts w:ascii="黑体" w:hAnsi="黑体" w:eastAsia="黑体"/>
          <w:sz w:val="44"/>
          <w:szCs w:val="44"/>
        </w:rPr>
      </w:pPr>
      <w:r>
        <w:rPr>
          <w:rFonts w:hint="eastAsia" w:ascii="黑体" w:hAnsi="黑体" w:eastAsia="黑体"/>
          <w:sz w:val="44"/>
          <w:szCs w:val="44"/>
        </w:rPr>
        <w:t>第一部分</w:t>
      </w:r>
    </w:p>
    <w:p>
      <w:pPr>
        <w:adjustRightInd w:val="0"/>
        <w:snapToGrid w:val="0"/>
        <w:spacing w:line="360" w:lineRule="auto"/>
        <w:jc w:val="center"/>
        <w:rPr>
          <w:rFonts w:hint="eastAsia" w:ascii="黑体" w:hAnsi="黑体" w:eastAsia="黑体"/>
          <w:sz w:val="44"/>
          <w:szCs w:val="44"/>
        </w:rPr>
      </w:pPr>
      <w:r>
        <w:rPr>
          <w:rFonts w:hint="eastAsia" w:ascii="黑体" w:hAnsi="黑体" w:eastAsia="黑体"/>
          <w:sz w:val="44"/>
          <w:szCs w:val="44"/>
        </w:rPr>
        <w:t>唐河县交通运输局概况</w:t>
      </w:r>
    </w:p>
    <w:p>
      <w:pPr>
        <w:adjustRightInd w:val="0"/>
        <w:snapToGrid w:val="0"/>
        <w:spacing w:line="360" w:lineRule="auto"/>
        <w:ind w:firstLine="640" w:firstLineChars="200"/>
        <w:jc w:val="center"/>
        <w:rPr>
          <w:rFonts w:ascii="黑体" w:hAnsi="黑体" w:eastAsia="黑体"/>
          <w:sz w:val="32"/>
          <w:szCs w:val="32"/>
        </w:rPr>
      </w:pPr>
    </w:p>
    <w:p>
      <w:pPr>
        <w:keepNext w:val="0"/>
        <w:keepLines w:val="0"/>
        <w:pageBreakBefore w:val="0"/>
        <w:widowControl w:val="0"/>
        <w:wordWrap/>
        <w:topLinePunct w:val="0"/>
        <w:bidi w:val="0"/>
        <w:adjustRightInd w:val="0"/>
        <w:snapToGrid w:val="0"/>
        <w:spacing w:line="600" w:lineRule="exact"/>
        <w:ind w:left="0" w:leftChars="0" w:right="0" w:firstLine="640" w:firstLineChars="200"/>
        <w:jc w:val="both"/>
        <w:textAlignment w:val="auto"/>
        <w:rPr>
          <w:rFonts w:ascii="黑体" w:hAnsi="黑体" w:eastAsia="黑体"/>
          <w:sz w:val="32"/>
          <w:szCs w:val="32"/>
        </w:rPr>
      </w:pPr>
      <w:r>
        <w:rPr>
          <w:rFonts w:hint="eastAsia" w:ascii="黑体" w:hAnsi="黑体" w:eastAsia="黑体"/>
          <w:sz w:val="32"/>
          <w:szCs w:val="32"/>
        </w:rPr>
        <w:t>一、唐河县交通运输局主要职责</w:t>
      </w:r>
    </w:p>
    <w:p>
      <w:pPr>
        <w:keepNext w:val="0"/>
        <w:keepLines w:val="0"/>
        <w:pageBreakBefore w:val="0"/>
        <w:widowControl w:val="0"/>
        <w:wordWrap/>
        <w:topLinePunct w:val="0"/>
        <w:bidi w:val="0"/>
        <w:spacing w:line="600" w:lineRule="exact"/>
        <w:ind w:left="0" w:leftChars="0"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唐河县交通运输局隶属于唐河县人民政府，属财政全额拨款正科级单位。唐河县交通运输局的主要职责为：</w:t>
      </w:r>
    </w:p>
    <w:p>
      <w:pPr>
        <w:keepNext w:val="0"/>
        <w:keepLines w:val="0"/>
        <w:pageBreakBefore w:val="0"/>
        <w:widowControl w:val="0"/>
        <w:wordWrap/>
        <w:topLinePunct w:val="0"/>
        <w:bidi w:val="0"/>
        <w:spacing w:line="600" w:lineRule="exact"/>
        <w:ind w:left="0" w:leftChars="0"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1、贯彻执行国家、省、市、县有关交通运输工作的法律、法规和方针政策。承担涉及全县综合运输体系的规划协调工作，会同有关部门组织编制综合运输体系规划，指导全县交通运输枢纽规划和管理。</w:t>
      </w:r>
    </w:p>
    <w:p>
      <w:pPr>
        <w:keepNext w:val="0"/>
        <w:keepLines w:val="0"/>
        <w:pageBreakBefore w:val="0"/>
        <w:widowControl w:val="0"/>
        <w:wordWrap/>
        <w:topLinePunct w:val="0"/>
        <w:bidi w:val="0"/>
        <w:spacing w:line="600" w:lineRule="exact"/>
        <w:ind w:left="0" w:leftChars="0"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2、组织拟订全县公路、水路等行业发展规划，并按有关政策和标准实施。参与拟订全县物流业发展规划并按有关政策和标准监督实施。指导全县公路、水路行业有关体制改革工作。</w:t>
      </w:r>
    </w:p>
    <w:p>
      <w:pPr>
        <w:keepNext w:val="0"/>
        <w:keepLines w:val="0"/>
        <w:pageBreakBefore w:val="0"/>
        <w:widowControl w:val="0"/>
        <w:wordWrap/>
        <w:topLinePunct w:val="0"/>
        <w:bidi w:val="0"/>
        <w:spacing w:line="600" w:lineRule="exact"/>
        <w:ind w:left="0" w:leftChars="0"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3、承担全县道路、水路运输市场监管责任。</w:t>
      </w:r>
    </w:p>
    <w:p>
      <w:pPr>
        <w:keepNext w:val="0"/>
        <w:keepLines w:val="0"/>
        <w:pageBreakBefore w:val="0"/>
        <w:widowControl w:val="0"/>
        <w:wordWrap/>
        <w:topLinePunct w:val="0"/>
        <w:bidi w:val="0"/>
        <w:spacing w:line="600" w:lineRule="exact"/>
        <w:ind w:left="0" w:leftChars="0"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4、承担全县水上交通安全监管责任。</w:t>
      </w:r>
    </w:p>
    <w:p>
      <w:pPr>
        <w:keepNext w:val="0"/>
        <w:keepLines w:val="0"/>
        <w:pageBreakBefore w:val="0"/>
        <w:widowControl w:val="0"/>
        <w:wordWrap/>
        <w:topLinePunct w:val="0"/>
        <w:bidi w:val="0"/>
        <w:spacing w:line="600" w:lineRule="exact"/>
        <w:ind w:left="0" w:leftChars="0"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5、负责提出全县公路、水路固定资产投资规模和方向以及国家、省、市、县财政性资金安排意见，按规定权限审批或核准国家、省、市、县规划内及年度计划规模内固定资产投资项目。负责公路、水运工程建设项目设计审批。</w:t>
      </w:r>
    </w:p>
    <w:p>
      <w:pPr>
        <w:keepNext w:val="0"/>
        <w:keepLines w:val="0"/>
        <w:pageBreakBefore w:val="0"/>
        <w:widowControl w:val="0"/>
        <w:wordWrap/>
        <w:topLinePunct w:val="0"/>
        <w:bidi w:val="0"/>
        <w:spacing w:line="600" w:lineRule="exact"/>
        <w:ind w:left="0" w:leftChars="0"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6、承担全县公路、水路建设市场监管责任。</w:t>
      </w:r>
    </w:p>
    <w:p>
      <w:pPr>
        <w:keepNext w:val="0"/>
        <w:keepLines w:val="0"/>
        <w:pageBreakBefore w:val="0"/>
        <w:widowControl w:val="0"/>
        <w:wordWrap/>
        <w:topLinePunct w:val="0"/>
        <w:bidi w:val="0"/>
        <w:spacing w:line="600" w:lineRule="exact"/>
        <w:ind w:left="0" w:leftChars="0"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7、指导全县公路、水路行业安全生产和应急管理工作。</w:t>
      </w:r>
    </w:p>
    <w:p>
      <w:pPr>
        <w:keepNext w:val="0"/>
        <w:keepLines w:val="0"/>
        <w:pageBreakBefore w:val="0"/>
        <w:widowControl w:val="0"/>
        <w:wordWrap/>
        <w:topLinePunct w:val="0"/>
        <w:bidi w:val="0"/>
        <w:spacing w:line="600" w:lineRule="exact"/>
        <w:ind w:left="0" w:leftChars="0"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8、指导全县交通信息化建设，监测分析运行情况，开展相关统计工作，发布有关信息。指导全县公路、水路行业环境保护和节能减排工作。</w:t>
      </w:r>
    </w:p>
    <w:p>
      <w:pPr>
        <w:keepNext w:val="0"/>
        <w:keepLines w:val="0"/>
        <w:pageBreakBefore w:val="0"/>
        <w:widowControl w:val="0"/>
        <w:wordWrap/>
        <w:topLinePunct w:val="0"/>
        <w:bidi w:val="0"/>
        <w:spacing w:line="600" w:lineRule="exact"/>
        <w:ind w:left="0" w:leftChars="0"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9、监督实施交通运输行业科技政策。组织重大科技研发，推动行业科技进步。</w:t>
      </w:r>
    </w:p>
    <w:p>
      <w:pPr>
        <w:keepNext w:val="0"/>
        <w:keepLines w:val="0"/>
        <w:pageBreakBefore w:val="0"/>
        <w:widowControl w:val="0"/>
        <w:wordWrap/>
        <w:topLinePunct w:val="0"/>
        <w:bidi w:val="0"/>
        <w:spacing w:line="600" w:lineRule="exact"/>
        <w:ind w:left="0" w:leftChars="0"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10、负责全县交通运输行业综合行政执法工作的统筹协调和监督指导。</w:t>
      </w:r>
    </w:p>
    <w:p>
      <w:pPr>
        <w:keepNext w:val="0"/>
        <w:keepLines w:val="0"/>
        <w:pageBreakBefore w:val="0"/>
        <w:widowControl w:val="0"/>
        <w:wordWrap/>
        <w:topLinePunct w:val="0"/>
        <w:bidi w:val="0"/>
        <w:spacing w:line="600" w:lineRule="exact"/>
        <w:ind w:left="0" w:leftChars="0"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11、负责全县交通运输行业对外经济技术合作、引进利用外资、开展对外交流与合作。</w:t>
      </w:r>
    </w:p>
    <w:p>
      <w:pPr>
        <w:keepNext w:val="0"/>
        <w:keepLines w:val="0"/>
        <w:pageBreakBefore w:val="0"/>
        <w:widowControl w:val="0"/>
        <w:wordWrap/>
        <w:topLinePunct w:val="0"/>
        <w:bidi w:val="0"/>
        <w:spacing w:line="600" w:lineRule="exact"/>
        <w:ind w:left="0" w:leftChars="0"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12、完成县委、县政府交办的其他任务。</w:t>
      </w:r>
    </w:p>
    <w:p>
      <w:pPr>
        <w:keepNext w:val="0"/>
        <w:keepLines w:val="0"/>
        <w:pageBreakBefore w:val="0"/>
        <w:widowControl w:val="0"/>
        <w:wordWrap/>
        <w:topLinePunct w:val="0"/>
        <w:bidi w:val="0"/>
        <w:adjustRightInd w:val="0"/>
        <w:snapToGrid w:val="0"/>
        <w:spacing w:line="600" w:lineRule="exact"/>
        <w:ind w:left="0" w:leftChars="0" w:right="0" w:firstLine="640" w:firstLineChars="200"/>
        <w:jc w:val="both"/>
        <w:textAlignment w:val="auto"/>
        <w:rPr>
          <w:rFonts w:hint="eastAsia" w:ascii="黑体" w:hAnsi="黑体" w:eastAsia="黑体" w:cs="Times New Roman"/>
          <w:sz w:val="32"/>
          <w:szCs w:val="32"/>
        </w:rPr>
      </w:pPr>
      <w:bookmarkStart w:id="0" w:name="bookmark25"/>
      <w:r>
        <w:rPr>
          <w:rFonts w:hint="eastAsia" w:ascii="黑体" w:hAnsi="黑体" w:eastAsia="黑体" w:cs="Times New Roman"/>
          <w:sz w:val="32"/>
          <w:szCs w:val="32"/>
        </w:rPr>
        <w:t>二</w:t>
      </w:r>
      <w:bookmarkEnd w:id="0"/>
      <w:r>
        <w:rPr>
          <w:rFonts w:hint="eastAsia" w:ascii="黑体" w:hAnsi="黑体" w:eastAsia="黑体" w:cs="Times New Roman"/>
          <w:sz w:val="32"/>
          <w:szCs w:val="32"/>
        </w:rPr>
        <w:t>、内设机构设置情况</w:t>
      </w:r>
    </w:p>
    <w:p>
      <w:pPr>
        <w:spacing w:before="240" w:line="360" w:lineRule="auto"/>
        <w:ind w:left="35" w:right="14" w:firstLine="647"/>
        <w:rPr>
          <w:rFonts w:ascii="仿宋" w:hAnsi="仿宋" w:eastAsia="仿宋" w:cs="仿宋"/>
          <w:sz w:val="32"/>
          <w:szCs w:val="32"/>
        </w:rPr>
      </w:pPr>
      <w:r>
        <w:rPr>
          <w:rFonts w:ascii="仿宋" w:hAnsi="仿宋" w:eastAsia="仿宋" w:cs="仿宋"/>
          <w:spacing w:val="-25"/>
          <w:sz w:val="32"/>
          <w:szCs w:val="32"/>
        </w:rPr>
        <w:t>唐</w:t>
      </w:r>
      <w:r>
        <w:rPr>
          <w:rFonts w:ascii="仿宋" w:hAnsi="仿宋" w:eastAsia="仿宋" w:cs="仿宋"/>
          <w:spacing w:val="-13"/>
          <w:sz w:val="32"/>
          <w:szCs w:val="32"/>
        </w:rPr>
        <w:t>河县交通运输局内设机构 6 个</w:t>
      </w:r>
      <w:r>
        <w:rPr>
          <w:rFonts w:hint="eastAsia" w:ascii="仿宋" w:hAnsi="仿宋" w:eastAsia="仿宋" w:cs="仿宋"/>
          <w:spacing w:val="-13"/>
          <w:sz w:val="32"/>
          <w:szCs w:val="32"/>
          <w:lang w:eastAsia="zh-CN"/>
        </w:rPr>
        <w:t>，</w:t>
      </w:r>
      <w:r>
        <w:rPr>
          <w:rFonts w:ascii="仿宋" w:hAnsi="仿宋" w:eastAsia="仿宋" w:cs="仿宋"/>
          <w:spacing w:val="-13"/>
          <w:sz w:val="32"/>
          <w:szCs w:val="32"/>
        </w:rPr>
        <w:t>包括：办公室、人事</w:t>
      </w:r>
      <w:r>
        <w:rPr>
          <w:rFonts w:ascii="仿宋" w:hAnsi="仿宋" w:eastAsia="仿宋" w:cs="仿宋"/>
          <w:spacing w:val="17"/>
          <w:sz w:val="32"/>
          <w:szCs w:val="32"/>
        </w:rPr>
        <w:t>股</w:t>
      </w:r>
      <w:r>
        <w:rPr>
          <w:rFonts w:ascii="仿宋" w:hAnsi="仿宋" w:eastAsia="仿宋" w:cs="仿宋"/>
          <w:spacing w:val="9"/>
          <w:sz w:val="32"/>
          <w:szCs w:val="32"/>
        </w:rPr>
        <w:t>、交通运输股、行政审批股(法制室) 、安全监督股(应</w:t>
      </w:r>
      <w:r>
        <w:rPr>
          <w:rFonts w:ascii="仿宋" w:hAnsi="仿宋" w:eastAsia="仿宋" w:cs="仿宋"/>
          <w:spacing w:val="8"/>
          <w:sz w:val="32"/>
          <w:szCs w:val="32"/>
        </w:rPr>
        <w:t>急办公室)、财务审计股。</w:t>
      </w:r>
    </w:p>
    <w:p>
      <w:pPr>
        <w:keepNext w:val="0"/>
        <w:keepLines w:val="0"/>
        <w:pageBreakBefore w:val="0"/>
        <w:widowControl w:val="0"/>
        <w:wordWrap/>
        <w:topLinePunct w:val="0"/>
        <w:bidi w:val="0"/>
        <w:adjustRightInd w:val="0"/>
        <w:snapToGrid w:val="0"/>
        <w:spacing w:line="600" w:lineRule="exact"/>
        <w:ind w:right="0" w:firstLine="640" w:firstLineChars="200"/>
        <w:jc w:val="both"/>
        <w:textAlignment w:val="auto"/>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、唐河县交通运输局</w:t>
      </w:r>
      <w:r>
        <w:rPr>
          <w:rFonts w:hint="eastAsia" w:ascii="黑体" w:hAnsi="黑体" w:eastAsia="黑体"/>
          <w:sz w:val="32"/>
          <w:szCs w:val="32"/>
          <w:lang w:val="en-US" w:eastAsia="zh-CN"/>
        </w:rPr>
        <w:t>本级</w:t>
      </w:r>
      <w:r>
        <w:rPr>
          <w:rFonts w:hint="eastAsia" w:ascii="黑体" w:hAnsi="黑体" w:eastAsia="黑体"/>
          <w:sz w:val="32"/>
          <w:szCs w:val="32"/>
        </w:rPr>
        <w:t>预算构成</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right="0" w:firstLine="636" w:firstLineChars="200"/>
        <w:jc w:val="both"/>
        <w:textAlignment w:val="auto"/>
        <w:rPr>
          <w:rFonts w:hint="default" w:ascii="仿宋_GB2312" w:hAnsi="Times New Roman" w:eastAsia="仿宋_GB2312" w:cs="仿宋_GB2312"/>
          <w:spacing w:val="-1"/>
          <w:kern w:val="0"/>
          <w:sz w:val="32"/>
          <w:szCs w:val="32"/>
          <w:lang w:val="en-US" w:eastAsia="zh-CN"/>
        </w:rPr>
      </w:pPr>
      <w:r>
        <w:rPr>
          <w:rFonts w:hint="eastAsia" w:ascii="仿宋_GB2312" w:hAnsi="Times New Roman" w:eastAsia="仿宋_GB2312" w:cs="仿宋_GB2312"/>
          <w:spacing w:val="-1"/>
          <w:kern w:val="0"/>
          <w:sz w:val="32"/>
          <w:szCs w:val="32"/>
          <w:lang w:eastAsia="zh-CN"/>
        </w:rPr>
        <w:t>我</w:t>
      </w:r>
      <w:r>
        <w:rPr>
          <w:rFonts w:hint="eastAsia" w:ascii="仿宋_GB2312" w:hAnsi="Times New Roman" w:eastAsia="仿宋_GB2312" w:cs="仿宋_GB2312"/>
          <w:spacing w:val="-1"/>
          <w:kern w:val="0"/>
          <w:sz w:val="32"/>
          <w:szCs w:val="32"/>
          <w:lang w:val="en-US" w:eastAsia="zh-CN"/>
        </w:rPr>
        <w:t>局（本级）预算包括交通局机关本级预算。</w:t>
      </w:r>
    </w:p>
    <w:p>
      <w:pPr>
        <w:kinsoku w:val="0"/>
        <w:overflowPunct w:val="0"/>
        <w:autoSpaceDE w:val="0"/>
        <w:autoSpaceDN w:val="0"/>
        <w:adjustRightInd w:val="0"/>
        <w:snapToGrid w:val="0"/>
        <w:spacing w:line="360" w:lineRule="auto"/>
        <w:jc w:val="center"/>
        <w:rPr>
          <w:rFonts w:hint="eastAsia" w:ascii="黑体" w:hAnsi="黑体" w:eastAsia="黑体" w:cs="黑体"/>
          <w:sz w:val="44"/>
          <w:szCs w:val="44"/>
        </w:rPr>
      </w:pPr>
    </w:p>
    <w:p>
      <w:pPr>
        <w:kinsoku w:val="0"/>
        <w:overflowPunct w:val="0"/>
        <w:autoSpaceDE w:val="0"/>
        <w:autoSpaceDN w:val="0"/>
        <w:adjustRightInd w:val="0"/>
        <w:snapToGrid w:val="0"/>
        <w:spacing w:line="360" w:lineRule="auto"/>
        <w:jc w:val="center"/>
        <w:rPr>
          <w:rFonts w:hint="eastAsia" w:ascii="黑体" w:hAnsi="黑体" w:eastAsia="黑体" w:cs="黑体"/>
          <w:sz w:val="44"/>
          <w:szCs w:val="44"/>
        </w:rPr>
      </w:pPr>
    </w:p>
    <w:p>
      <w:pPr>
        <w:kinsoku w:val="0"/>
        <w:overflowPunct w:val="0"/>
        <w:autoSpaceDE w:val="0"/>
        <w:autoSpaceDN w:val="0"/>
        <w:adjustRightInd w:val="0"/>
        <w:snapToGrid w:val="0"/>
        <w:spacing w:line="360" w:lineRule="auto"/>
        <w:jc w:val="center"/>
        <w:rPr>
          <w:rFonts w:hint="eastAsia" w:ascii="黑体" w:hAnsi="黑体" w:eastAsia="黑体" w:cs="黑体"/>
          <w:sz w:val="44"/>
          <w:szCs w:val="44"/>
        </w:rPr>
      </w:pPr>
    </w:p>
    <w:p>
      <w:pPr>
        <w:kinsoku w:val="0"/>
        <w:overflowPunct w:val="0"/>
        <w:autoSpaceDE w:val="0"/>
        <w:autoSpaceDN w:val="0"/>
        <w:adjustRightInd w:val="0"/>
        <w:snapToGrid w:val="0"/>
        <w:spacing w:line="360" w:lineRule="auto"/>
        <w:jc w:val="center"/>
        <w:rPr>
          <w:rFonts w:hint="eastAsia" w:ascii="黑体" w:hAnsi="黑体" w:eastAsia="黑体" w:cs="黑体"/>
          <w:sz w:val="44"/>
          <w:szCs w:val="44"/>
        </w:rPr>
      </w:pPr>
    </w:p>
    <w:p>
      <w:pPr>
        <w:kinsoku w:val="0"/>
        <w:overflowPunct w:val="0"/>
        <w:autoSpaceDE w:val="0"/>
        <w:autoSpaceDN w:val="0"/>
        <w:adjustRightInd w:val="0"/>
        <w:snapToGrid w:val="0"/>
        <w:spacing w:line="360" w:lineRule="auto"/>
        <w:jc w:val="center"/>
        <w:rPr>
          <w:rFonts w:hint="eastAsia" w:ascii="黑体" w:hAnsi="黑体" w:eastAsia="黑体" w:cs="黑体"/>
          <w:sz w:val="44"/>
          <w:szCs w:val="44"/>
        </w:rPr>
      </w:pPr>
    </w:p>
    <w:p>
      <w:pPr>
        <w:kinsoku w:val="0"/>
        <w:overflowPunct w:val="0"/>
        <w:autoSpaceDE w:val="0"/>
        <w:autoSpaceDN w:val="0"/>
        <w:adjustRightInd w:val="0"/>
        <w:snapToGrid w:val="0"/>
        <w:spacing w:line="360" w:lineRule="auto"/>
        <w:jc w:val="center"/>
        <w:rPr>
          <w:rFonts w:hint="eastAsia" w:ascii="黑体" w:hAnsi="黑体" w:eastAsia="黑体" w:cs="黑体"/>
          <w:kern w:val="0"/>
          <w:sz w:val="44"/>
          <w:szCs w:val="44"/>
        </w:rPr>
      </w:pPr>
      <w:r>
        <w:rPr>
          <w:rFonts w:hint="eastAsia" w:ascii="黑体" w:hAnsi="黑体" w:eastAsia="黑体" w:cs="黑体"/>
          <w:sz w:val="44"/>
          <w:szCs w:val="44"/>
        </w:rPr>
        <w:t>第二部分</w:t>
      </w:r>
    </w:p>
    <w:p>
      <w:pPr>
        <w:adjustRightInd w:val="0"/>
        <w:snapToGrid w:val="0"/>
        <w:spacing w:line="360" w:lineRule="auto"/>
        <w:jc w:val="center"/>
        <w:rPr>
          <w:rFonts w:hint="eastAsia" w:ascii="黑体" w:hAnsi="黑体" w:eastAsia="黑体" w:cs="黑体"/>
          <w:sz w:val="44"/>
          <w:szCs w:val="44"/>
        </w:rPr>
      </w:pPr>
      <w:r>
        <w:rPr>
          <w:rFonts w:hint="eastAsia" w:ascii="黑体" w:hAnsi="黑体" w:eastAsia="黑体" w:cs="黑体"/>
          <w:sz w:val="44"/>
          <w:szCs w:val="44"/>
        </w:rPr>
        <w:t>唐河县交通运输局202</w:t>
      </w:r>
      <w:r>
        <w:rPr>
          <w:rFonts w:hint="eastAsia" w:ascii="黑体" w:hAnsi="黑体" w:eastAsia="黑体" w:cs="黑体"/>
          <w:sz w:val="44"/>
          <w:szCs w:val="44"/>
          <w:lang w:val="en-US" w:eastAsia="zh-CN"/>
        </w:rPr>
        <w:t>2</w:t>
      </w:r>
      <w:r>
        <w:rPr>
          <w:rFonts w:hint="eastAsia" w:ascii="黑体" w:hAnsi="黑体" w:eastAsia="黑体" w:cs="黑体"/>
          <w:sz w:val="44"/>
          <w:szCs w:val="44"/>
        </w:rPr>
        <w:t>年</w:t>
      </w:r>
      <w:r>
        <w:rPr>
          <w:rFonts w:hint="eastAsia" w:ascii="黑体" w:hAnsi="黑体" w:eastAsia="黑体" w:cs="黑体"/>
          <w:sz w:val="44"/>
          <w:szCs w:val="44"/>
          <w:lang w:val="en-US" w:eastAsia="zh-CN"/>
        </w:rPr>
        <w:t>本级</w:t>
      </w:r>
      <w:r>
        <w:rPr>
          <w:rFonts w:hint="eastAsia" w:ascii="黑体" w:hAnsi="黑体" w:eastAsia="黑体" w:cs="黑体"/>
          <w:sz w:val="44"/>
          <w:szCs w:val="44"/>
        </w:rPr>
        <w:t>预算情况说明</w:t>
      </w:r>
    </w:p>
    <w:p>
      <w:pPr>
        <w:adjustRightInd w:val="0"/>
        <w:snapToGrid w:val="0"/>
        <w:spacing w:line="360" w:lineRule="auto"/>
        <w:jc w:val="center"/>
        <w:rPr>
          <w:rFonts w:hint="eastAsia" w:ascii="黑体" w:hAnsi="黑体" w:eastAsia="黑体"/>
          <w:sz w:val="32"/>
          <w:szCs w:val="32"/>
        </w:rPr>
      </w:pPr>
    </w:p>
    <w:p>
      <w:pPr>
        <w:keepNext w:val="0"/>
        <w:keepLines w:val="0"/>
        <w:pageBreakBefore w:val="0"/>
        <w:wordWrap/>
        <w:topLinePunct w:val="0"/>
        <w:bidi w:val="0"/>
        <w:adjustRightInd w:val="0"/>
        <w:snapToGrid w:val="0"/>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一、收入支出预算总体情况说明</w:t>
      </w:r>
    </w:p>
    <w:p>
      <w:pPr>
        <w:keepNext w:val="0"/>
        <w:keepLines w:val="0"/>
        <w:pageBreakBefore w:val="0"/>
        <w:wordWrap/>
        <w:topLinePunct w:val="0"/>
        <w:bidi w:val="0"/>
        <w:adjustRightInd w:val="0"/>
        <w:snapToGrid w:val="0"/>
        <w:spacing w:line="600" w:lineRule="exact"/>
        <w:ind w:firstLine="640" w:firstLineChars="200"/>
        <w:jc w:val="both"/>
        <w:textAlignment w:val="auto"/>
        <w:rPr>
          <w:rFonts w:ascii="仿宋_GB2312" w:hAnsi="宋体" w:eastAsia="仿宋_GB2312" w:cs="Courier New"/>
          <w:sz w:val="32"/>
          <w:szCs w:val="32"/>
        </w:rPr>
      </w:pPr>
      <w:r>
        <w:rPr>
          <w:rFonts w:hint="eastAsia" w:ascii="仿宋_GB2312" w:hAnsi="黑体" w:eastAsia="仿宋_GB2312"/>
          <w:sz w:val="32"/>
          <w:szCs w:val="32"/>
        </w:rPr>
        <w:t>唐河县交通运输局</w:t>
      </w:r>
      <w:r>
        <w:rPr>
          <w:rFonts w:hint="eastAsia" w:ascii="仿宋_GB2312" w:hAnsi="黑体" w:eastAsia="仿宋_GB2312"/>
          <w:sz w:val="32"/>
          <w:szCs w:val="32"/>
          <w:lang w:val="en-US" w:eastAsia="zh-CN"/>
        </w:rPr>
        <w:t>本级</w:t>
      </w:r>
      <w:r>
        <w:rPr>
          <w:rFonts w:hint="eastAsia" w:ascii="仿宋_GB2312" w:hAnsi="宋体" w:eastAsia="仿宋_GB2312" w:cs="Courier New"/>
          <w:sz w:val="32"/>
          <w:szCs w:val="32"/>
        </w:rPr>
        <w:t>2022年收入总计</w:t>
      </w:r>
      <w:r>
        <w:rPr>
          <w:rFonts w:hint="eastAsia" w:ascii="仿宋_GB2312" w:eastAsia="仿宋_GB2312"/>
          <w:sz w:val="32"/>
          <w:szCs w:val="32"/>
          <w:lang w:val="en-US" w:eastAsia="zh-CN"/>
        </w:rPr>
        <w:t>272.89</w:t>
      </w:r>
      <w:r>
        <w:rPr>
          <w:rFonts w:hint="eastAsia" w:ascii="仿宋_GB2312" w:hAnsi="宋体" w:eastAsia="仿宋_GB2312" w:cs="Courier New"/>
          <w:sz w:val="32"/>
          <w:szCs w:val="32"/>
        </w:rPr>
        <w:t>万元，支出总计</w:t>
      </w:r>
      <w:r>
        <w:rPr>
          <w:rFonts w:hint="eastAsia" w:ascii="仿宋_GB2312" w:eastAsia="仿宋_GB2312"/>
          <w:sz w:val="32"/>
          <w:szCs w:val="32"/>
          <w:lang w:val="en-US" w:eastAsia="zh-CN"/>
        </w:rPr>
        <w:t>272.89</w:t>
      </w:r>
      <w:r>
        <w:rPr>
          <w:rFonts w:hint="eastAsia" w:ascii="仿宋_GB2312" w:hAnsi="宋体" w:eastAsia="仿宋_GB2312" w:cs="Courier New"/>
          <w:sz w:val="32"/>
          <w:szCs w:val="32"/>
        </w:rPr>
        <w:t>万元，与2021年预算相比，收</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支总计各</w:t>
      </w:r>
      <w:r>
        <w:rPr>
          <w:rFonts w:hint="eastAsia" w:ascii="仿宋_GB2312" w:hAnsi="宋体" w:eastAsia="仿宋_GB2312" w:cs="Courier New"/>
          <w:sz w:val="32"/>
          <w:szCs w:val="32"/>
        </w:rPr>
        <w:t>增加</w:t>
      </w:r>
      <w:r>
        <w:rPr>
          <w:rFonts w:hint="eastAsia" w:ascii="仿宋_GB2312" w:eastAsia="仿宋_GB2312"/>
          <w:sz w:val="32"/>
          <w:szCs w:val="32"/>
          <w:lang w:val="en-US" w:eastAsia="zh-CN"/>
        </w:rPr>
        <w:t>68.97</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增长33.82%。</w:t>
      </w:r>
      <w:r>
        <w:rPr>
          <w:rFonts w:hint="eastAsia" w:ascii="仿宋_GB2312" w:hAnsi="宋体" w:eastAsia="仿宋_GB2312" w:cs="Courier New"/>
          <w:sz w:val="32"/>
          <w:szCs w:val="32"/>
        </w:rPr>
        <w:t>主要原因：</w:t>
      </w:r>
      <w:r>
        <w:rPr>
          <w:rFonts w:hint="eastAsia" w:ascii="仿宋_GB2312" w:hAnsi="宋体" w:eastAsia="仿宋_GB2312" w:cs="Courier New"/>
          <w:sz w:val="32"/>
          <w:szCs w:val="32"/>
          <w:lang w:val="en-US" w:eastAsia="zh-CN"/>
        </w:rPr>
        <w:t>人员工资增加</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项目收入支出增加等</w:t>
      </w:r>
      <w:r>
        <w:rPr>
          <w:rFonts w:hint="eastAsia" w:ascii="仿宋_GB2312" w:hAnsi="宋体" w:eastAsia="仿宋_GB2312" w:cs="Courier New"/>
          <w:sz w:val="32"/>
          <w:szCs w:val="32"/>
        </w:rPr>
        <w:t>。</w:t>
      </w:r>
    </w:p>
    <w:p>
      <w:pPr>
        <w:keepNext w:val="0"/>
        <w:keepLines w:val="0"/>
        <w:pageBreakBefore w:val="0"/>
        <w:wordWrap/>
        <w:topLinePunct w:val="0"/>
        <w:bidi w:val="0"/>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二、收入预算总体情况说明</w:t>
      </w:r>
    </w:p>
    <w:p>
      <w:pPr>
        <w:keepNext w:val="0"/>
        <w:keepLines w:val="0"/>
        <w:pageBreakBefore w:val="0"/>
        <w:wordWrap/>
        <w:topLinePunct w:val="0"/>
        <w:bidi w:val="0"/>
        <w:adjustRightInd w:val="0"/>
        <w:snapToGrid w:val="0"/>
        <w:spacing w:line="600" w:lineRule="exact"/>
        <w:ind w:firstLine="640" w:firstLineChars="200"/>
        <w:jc w:val="both"/>
        <w:textAlignment w:val="auto"/>
        <w:rPr>
          <w:rFonts w:hint="eastAsia" w:ascii="仿宋_GB2312" w:hAnsi="宋体" w:eastAsia="仿宋_GB2312" w:cs="Courier New"/>
          <w:sz w:val="32"/>
          <w:szCs w:val="32"/>
          <w:lang w:eastAsia="zh-CN"/>
        </w:rPr>
      </w:pPr>
      <w:r>
        <w:rPr>
          <w:rFonts w:hint="eastAsia" w:ascii="仿宋_GB2312" w:eastAsia="仿宋_GB2312"/>
          <w:sz w:val="32"/>
          <w:szCs w:val="32"/>
        </w:rPr>
        <w:t>唐河县交通运输局</w:t>
      </w:r>
      <w:r>
        <w:rPr>
          <w:rFonts w:hint="eastAsia" w:ascii="仿宋_GB2312" w:eastAsia="仿宋_GB2312"/>
          <w:sz w:val="32"/>
          <w:szCs w:val="32"/>
          <w:lang w:val="en-US" w:eastAsia="zh-CN"/>
        </w:rPr>
        <w:t>本级</w:t>
      </w:r>
      <w:r>
        <w:rPr>
          <w:rFonts w:hint="eastAsia" w:ascii="仿宋_GB2312" w:hAnsi="Times New Roman" w:eastAsia="仿宋_GB2312"/>
          <w:sz w:val="32"/>
          <w:szCs w:val="32"/>
        </w:rPr>
        <w:t>2022年收入合计</w:t>
      </w:r>
      <w:r>
        <w:rPr>
          <w:rFonts w:hint="eastAsia" w:ascii="仿宋_GB2312" w:eastAsia="仿宋_GB2312"/>
          <w:sz w:val="32"/>
          <w:szCs w:val="32"/>
          <w:lang w:val="en-US" w:eastAsia="zh-CN"/>
        </w:rPr>
        <w:t>272.89</w:t>
      </w:r>
      <w:r>
        <w:rPr>
          <w:rFonts w:hint="eastAsia" w:ascii="仿宋_GB2312" w:hAnsi="Times New Roman" w:eastAsia="仿宋_GB2312"/>
          <w:sz w:val="32"/>
          <w:szCs w:val="32"/>
        </w:rPr>
        <w:t>万元，</w:t>
      </w:r>
      <w:r>
        <w:rPr>
          <w:rFonts w:hint="eastAsia" w:ascii="仿宋_GB2312" w:eastAsia="仿宋_GB2312"/>
          <w:sz w:val="32"/>
          <w:szCs w:val="32"/>
        </w:rPr>
        <w:t>其中：一般公共预算</w:t>
      </w:r>
      <w:r>
        <w:rPr>
          <w:rFonts w:hint="eastAsia" w:ascii="仿宋_GB2312" w:eastAsia="仿宋_GB2312"/>
          <w:sz w:val="32"/>
          <w:szCs w:val="32"/>
          <w:lang w:val="en-US" w:eastAsia="zh-CN"/>
        </w:rPr>
        <w:t>272.89</w:t>
      </w:r>
      <w:r>
        <w:rPr>
          <w:rFonts w:hint="eastAsia" w:ascii="仿宋_GB2312" w:eastAsia="仿宋_GB2312"/>
          <w:sz w:val="32"/>
          <w:szCs w:val="32"/>
        </w:rPr>
        <w:t>万元</w:t>
      </w:r>
      <w:r>
        <w:rPr>
          <w:rFonts w:hint="eastAsia" w:ascii="仿宋_GB2312" w:eastAsia="仿宋_GB2312"/>
          <w:sz w:val="32"/>
          <w:szCs w:val="32"/>
          <w:lang w:eastAsia="zh-CN"/>
        </w:rPr>
        <w:t>。</w:t>
      </w:r>
    </w:p>
    <w:p>
      <w:pPr>
        <w:keepNext w:val="0"/>
        <w:keepLines w:val="0"/>
        <w:pageBreakBefore w:val="0"/>
        <w:wordWrap/>
        <w:topLinePunct w:val="0"/>
        <w:bidi w:val="0"/>
        <w:spacing w:line="600" w:lineRule="exact"/>
        <w:ind w:firstLine="640" w:firstLineChars="200"/>
        <w:jc w:val="both"/>
        <w:textAlignment w:val="auto"/>
        <w:rPr>
          <w:rFonts w:hint="eastAsia" w:ascii="仿宋_GB2312" w:eastAsia="仿宋_GB2312"/>
          <w:sz w:val="32"/>
          <w:szCs w:val="32"/>
        </w:rPr>
      </w:pPr>
      <w:r>
        <w:rPr>
          <w:rFonts w:hint="eastAsia" w:ascii="黑体" w:hAnsi="黑体" w:eastAsia="黑体"/>
          <w:sz w:val="32"/>
          <w:szCs w:val="32"/>
        </w:rPr>
        <w:t>三、支出预算总体情况说明</w:t>
      </w:r>
    </w:p>
    <w:p>
      <w:pPr>
        <w:keepNext w:val="0"/>
        <w:keepLines w:val="0"/>
        <w:pageBreakBefore w:val="0"/>
        <w:wordWrap/>
        <w:topLinePunct w:val="0"/>
        <w:bidi w:val="0"/>
        <w:adjustRightInd w:val="0"/>
        <w:snapToGrid w:val="0"/>
        <w:spacing w:line="600" w:lineRule="exact"/>
        <w:ind w:firstLine="640" w:firstLineChars="200"/>
        <w:jc w:val="both"/>
        <w:textAlignment w:val="auto"/>
        <w:rPr>
          <w:rFonts w:hint="eastAsia" w:ascii="仿宋_GB2312" w:hAnsi="宋体" w:eastAsia="仿宋_GB2312" w:cs="Courier New"/>
          <w:sz w:val="32"/>
          <w:szCs w:val="32"/>
          <w:lang w:eastAsia="zh-CN"/>
        </w:rPr>
      </w:pPr>
      <w:r>
        <w:rPr>
          <w:rFonts w:hint="eastAsia" w:ascii="仿宋_GB2312" w:eastAsia="仿宋_GB2312"/>
          <w:sz w:val="32"/>
          <w:szCs w:val="32"/>
        </w:rPr>
        <w:t>唐河县交通运输局</w:t>
      </w:r>
      <w:r>
        <w:rPr>
          <w:rFonts w:hint="eastAsia" w:ascii="仿宋_GB2312" w:eastAsia="仿宋_GB2312"/>
          <w:sz w:val="32"/>
          <w:szCs w:val="32"/>
          <w:lang w:val="en-US" w:eastAsia="zh-CN"/>
        </w:rPr>
        <w:t>本级</w:t>
      </w:r>
      <w:r>
        <w:rPr>
          <w:rFonts w:hint="eastAsia" w:ascii="仿宋_GB2312" w:hAnsi="Times New Roman" w:eastAsia="仿宋_GB2312"/>
          <w:sz w:val="32"/>
          <w:szCs w:val="32"/>
        </w:rPr>
        <w:t>2022年</w:t>
      </w:r>
      <w:r>
        <w:rPr>
          <w:rFonts w:hint="eastAsia" w:ascii="仿宋_GB2312" w:hAnsi="宋体" w:eastAsia="仿宋_GB2312" w:cs="Courier New"/>
          <w:sz w:val="32"/>
          <w:szCs w:val="32"/>
        </w:rPr>
        <w:t>支出合计</w:t>
      </w:r>
      <w:r>
        <w:rPr>
          <w:rFonts w:hint="eastAsia" w:ascii="仿宋_GB2312" w:eastAsia="仿宋_GB2312"/>
          <w:sz w:val="32"/>
          <w:szCs w:val="32"/>
          <w:lang w:val="en-US" w:eastAsia="zh-CN"/>
        </w:rPr>
        <w:t>272.89</w:t>
      </w:r>
      <w:r>
        <w:rPr>
          <w:rFonts w:hint="eastAsia" w:ascii="仿宋_GB2312" w:hAnsi="宋体" w:eastAsia="仿宋_GB2312" w:cs="Courier New"/>
          <w:sz w:val="32"/>
          <w:szCs w:val="32"/>
        </w:rPr>
        <w:t>万元，其中：基本支出</w:t>
      </w:r>
      <w:r>
        <w:rPr>
          <w:rFonts w:hint="eastAsia" w:ascii="仿宋_GB2312" w:eastAsia="仿宋_GB2312"/>
          <w:sz w:val="32"/>
          <w:szCs w:val="32"/>
          <w:lang w:val="en-US" w:eastAsia="zh-CN"/>
        </w:rPr>
        <w:t>272.89</w:t>
      </w:r>
      <w:r>
        <w:rPr>
          <w:rFonts w:hint="eastAsia" w:ascii="仿宋_GB2312" w:hAnsi="宋体" w:eastAsia="仿宋_GB2312" w:cs="Courier New"/>
          <w:sz w:val="32"/>
          <w:szCs w:val="32"/>
        </w:rPr>
        <w:t>万元，占</w:t>
      </w:r>
      <w:r>
        <w:rPr>
          <w:rFonts w:hint="eastAsia" w:ascii="仿宋_GB2312" w:eastAsia="仿宋_GB2312"/>
          <w:sz w:val="32"/>
          <w:szCs w:val="32"/>
        </w:rPr>
        <w:t>100</w:t>
      </w:r>
      <w:r>
        <w:rPr>
          <w:rFonts w:ascii="仿宋_GB2312" w:hAnsi="宋体" w:eastAsia="仿宋_GB2312" w:cs="Courier New"/>
          <w:sz w:val="32"/>
          <w:szCs w:val="32"/>
        </w:rPr>
        <w:t>%</w:t>
      </w:r>
      <w:r>
        <w:rPr>
          <w:rFonts w:hint="eastAsia" w:ascii="仿宋_GB2312" w:hAnsi="宋体" w:eastAsia="仿宋_GB2312" w:cs="Courier New"/>
          <w:sz w:val="32"/>
          <w:szCs w:val="32"/>
          <w:lang w:eastAsia="zh-CN"/>
        </w:rPr>
        <w:t>。</w:t>
      </w:r>
    </w:p>
    <w:p>
      <w:pPr>
        <w:keepNext w:val="0"/>
        <w:keepLines w:val="0"/>
        <w:pageBreakBefore w:val="0"/>
        <w:wordWrap/>
        <w:topLinePunct w:val="0"/>
        <w:bidi w:val="0"/>
        <w:spacing w:line="600" w:lineRule="exact"/>
        <w:ind w:firstLine="640" w:firstLineChars="200"/>
        <w:jc w:val="both"/>
        <w:textAlignment w:val="auto"/>
        <w:rPr>
          <w:rFonts w:hint="eastAsia" w:ascii="仿宋_GB2312" w:eastAsia="仿宋_GB2312"/>
          <w:sz w:val="32"/>
          <w:szCs w:val="32"/>
        </w:rPr>
      </w:pPr>
      <w:r>
        <w:rPr>
          <w:rFonts w:hint="eastAsia" w:ascii="黑体" w:hAnsi="黑体" w:eastAsia="黑体"/>
          <w:sz w:val="32"/>
          <w:szCs w:val="32"/>
        </w:rPr>
        <w:t>四、财政拨款收入支出预算总体情况说明</w:t>
      </w:r>
    </w:p>
    <w:p>
      <w:pPr>
        <w:keepNext w:val="0"/>
        <w:keepLines w:val="0"/>
        <w:pageBreakBefore w:val="0"/>
        <w:wordWrap/>
        <w:topLinePunct w:val="0"/>
        <w:bidi w:val="0"/>
        <w:adjustRightInd w:val="0"/>
        <w:snapToGrid w:val="0"/>
        <w:spacing w:line="600" w:lineRule="exact"/>
        <w:ind w:firstLine="640" w:firstLineChars="200"/>
        <w:jc w:val="both"/>
        <w:textAlignment w:val="auto"/>
        <w:rPr>
          <w:rFonts w:ascii="仿宋_GB2312" w:hAnsi="宋体" w:eastAsia="仿宋_GB2312" w:cs="Courier New"/>
          <w:sz w:val="32"/>
          <w:szCs w:val="32"/>
        </w:rPr>
      </w:pPr>
      <w:r>
        <w:rPr>
          <w:rFonts w:hint="eastAsia" w:ascii="仿宋_GB2312" w:eastAsia="仿宋_GB2312"/>
          <w:sz w:val="32"/>
          <w:szCs w:val="32"/>
        </w:rPr>
        <w:t>唐河县交通运输局</w:t>
      </w:r>
      <w:r>
        <w:rPr>
          <w:rFonts w:hint="eastAsia" w:ascii="仿宋_GB2312" w:eastAsia="仿宋_GB2312"/>
          <w:sz w:val="32"/>
          <w:szCs w:val="32"/>
          <w:lang w:val="en-US" w:eastAsia="zh-CN"/>
        </w:rPr>
        <w:t>本级</w:t>
      </w:r>
      <w:r>
        <w:rPr>
          <w:rFonts w:ascii="仿宋_GB2312" w:hAnsi="宋体" w:eastAsia="仿宋_GB2312" w:cs="Courier New"/>
          <w:sz w:val="32"/>
          <w:szCs w:val="32"/>
        </w:rPr>
        <w:t>202</w:t>
      </w:r>
      <w:r>
        <w:rPr>
          <w:rFonts w:hint="eastAsia" w:ascii="仿宋_GB2312" w:hAnsi="宋体" w:eastAsia="仿宋_GB2312" w:cs="Courier New"/>
          <w:sz w:val="32"/>
          <w:szCs w:val="32"/>
        </w:rPr>
        <w:t>2</w:t>
      </w:r>
      <w:r>
        <w:rPr>
          <w:rFonts w:ascii="仿宋_GB2312" w:hAnsi="宋体" w:eastAsia="仿宋_GB2312" w:cs="Courier New"/>
          <w:sz w:val="32"/>
          <w:szCs w:val="32"/>
        </w:rPr>
        <w:t>年</w:t>
      </w:r>
      <w:r>
        <w:rPr>
          <w:rFonts w:hint="eastAsia" w:ascii="仿宋_GB2312" w:hAnsi="宋体" w:eastAsia="仿宋_GB2312" w:cs="Courier New"/>
          <w:sz w:val="32"/>
          <w:szCs w:val="32"/>
        </w:rPr>
        <w:t>财政拨款收支预算</w:t>
      </w:r>
      <w:r>
        <w:rPr>
          <w:rFonts w:hint="eastAsia" w:ascii="仿宋_GB2312" w:eastAsia="仿宋_GB2312"/>
          <w:sz w:val="32"/>
          <w:szCs w:val="32"/>
          <w:lang w:val="en-US" w:eastAsia="zh-CN"/>
        </w:rPr>
        <w:t>272.89</w:t>
      </w:r>
      <w:r>
        <w:rPr>
          <w:rFonts w:hint="eastAsia" w:ascii="仿宋_GB2312" w:hAnsi="宋体" w:eastAsia="仿宋_GB2312" w:cs="Courier New"/>
          <w:sz w:val="32"/>
          <w:szCs w:val="32"/>
        </w:rPr>
        <w:t>万元，与</w:t>
      </w:r>
      <w:r>
        <w:rPr>
          <w:rFonts w:ascii="仿宋_GB2312" w:hAnsi="宋体" w:eastAsia="仿宋_GB2312" w:cs="Courier New"/>
          <w:sz w:val="32"/>
          <w:szCs w:val="32"/>
        </w:rPr>
        <w:t>20</w:t>
      </w:r>
      <w:r>
        <w:rPr>
          <w:rFonts w:hint="eastAsia" w:ascii="仿宋_GB2312" w:hAnsi="宋体" w:eastAsia="仿宋_GB2312" w:cs="Courier New"/>
          <w:sz w:val="32"/>
          <w:szCs w:val="32"/>
        </w:rPr>
        <w:t>21年相比，一般公共预算收支预算增加</w:t>
      </w:r>
      <w:r>
        <w:rPr>
          <w:rFonts w:hint="eastAsia" w:ascii="仿宋_GB2312" w:eastAsia="仿宋_GB2312"/>
          <w:sz w:val="32"/>
          <w:szCs w:val="32"/>
          <w:lang w:val="en-US" w:eastAsia="zh-CN"/>
        </w:rPr>
        <w:t>68.97</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val="en-US" w:eastAsia="zh-CN"/>
        </w:rPr>
        <w:t>增长33.82%。</w:t>
      </w:r>
      <w:r>
        <w:rPr>
          <w:rFonts w:hint="eastAsia" w:ascii="仿宋_GB2312" w:hAnsi="宋体" w:eastAsia="仿宋_GB2312" w:cs="Courier New"/>
          <w:sz w:val="32"/>
          <w:szCs w:val="32"/>
        </w:rPr>
        <w:t>主要原因：</w:t>
      </w:r>
      <w:r>
        <w:rPr>
          <w:rFonts w:hint="eastAsia" w:ascii="仿宋_GB2312" w:hAnsi="宋体" w:eastAsia="仿宋_GB2312" w:cs="Courier New"/>
          <w:sz w:val="32"/>
          <w:szCs w:val="32"/>
          <w:lang w:val="en-US" w:eastAsia="zh-CN"/>
        </w:rPr>
        <w:t>人员工资增加</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项目收入支出增加等</w:t>
      </w:r>
      <w:r>
        <w:rPr>
          <w:rFonts w:hint="eastAsia" w:ascii="仿宋_GB2312" w:hAnsi="宋体" w:eastAsia="仿宋_GB2312" w:cs="Courier New"/>
          <w:sz w:val="32"/>
          <w:szCs w:val="32"/>
        </w:rPr>
        <w:t>。</w:t>
      </w:r>
    </w:p>
    <w:p>
      <w:pPr>
        <w:keepNext w:val="0"/>
        <w:keepLines w:val="0"/>
        <w:pageBreakBefore w:val="0"/>
        <w:wordWrap/>
        <w:topLinePunct w:val="0"/>
        <w:bidi w:val="0"/>
        <w:spacing w:line="600" w:lineRule="exact"/>
        <w:ind w:firstLine="640" w:firstLineChars="200"/>
        <w:jc w:val="both"/>
        <w:textAlignment w:val="auto"/>
        <w:rPr>
          <w:rFonts w:hint="eastAsia" w:ascii="仿宋_GB2312" w:eastAsia="仿宋_GB2312"/>
          <w:sz w:val="32"/>
          <w:szCs w:val="32"/>
        </w:rPr>
      </w:pPr>
      <w:r>
        <w:rPr>
          <w:rFonts w:hint="eastAsia" w:ascii="黑体" w:hAnsi="黑体" w:eastAsia="黑体"/>
          <w:sz w:val="32"/>
          <w:szCs w:val="32"/>
        </w:rPr>
        <w:t>五、一般公共预算支出预算情况说明</w:t>
      </w:r>
    </w:p>
    <w:p>
      <w:pPr>
        <w:keepNext w:val="0"/>
        <w:keepLines w:val="0"/>
        <w:pageBreakBefore w:val="0"/>
        <w:wordWrap/>
        <w:topLinePunct w:val="0"/>
        <w:bidi w:val="0"/>
        <w:spacing w:line="600" w:lineRule="exact"/>
        <w:ind w:firstLine="640" w:firstLineChars="200"/>
        <w:jc w:val="both"/>
        <w:textAlignment w:val="auto"/>
        <w:rPr>
          <w:rFonts w:hint="default" w:ascii="仿宋_GB2312" w:hAnsi="宋体" w:eastAsia="仿宋_GB2312" w:cs="Courier New"/>
          <w:sz w:val="32"/>
          <w:szCs w:val="32"/>
          <w:lang w:val="en-US" w:eastAsia="zh-CN"/>
        </w:rPr>
      </w:pPr>
      <w:r>
        <w:rPr>
          <w:rFonts w:hint="eastAsia" w:ascii="仿宋_GB2312" w:eastAsia="仿宋_GB2312"/>
          <w:sz w:val="32"/>
          <w:szCs w:val="32"/>
        </w:rPr>
        <w:t>唐河县交通运输局</w:t>
      </w:r>
      <w:r>
        <w:rPr>
          <w:rFonts w:hint="eastAsia" w:ascii="仿宋_GB2312" w:eastAsia="仿宋_GB2312"/>
          <w:sz w:val="32"/>
          <w:szCs w:val="32"/>
          <w:lang w:val="en-US" w:eastAsia="zh-CN"/>
        </w:rPr>
        <w:t>本级</w:t>
      </w:r>
      <w:r>
        <w:rPr>
          <w:rFonts w:ascii="仿宋_GB2312" w:hAnsi="宋体" w:eastAsia="仿宋_GB2312" w:cs="Courier New"/>
          <w:sz w:val="32"/>
          <w:szCs w:val="32"/>
        </w:rPr>
        <w:t>202</w:t>
      </w:r>
      <w:r>
        <w:rPr>
          <w:rFonts w:hint="eastAsia" w:ascii="仿宋_GB2312" w:hAnsi="宋体" w:eastAsia="仿宋_GB2312" w:cs="Courier New"/>
          <w:sz w:val="32"/>
          <w:szCs w:val="32"/>
        </w:rPr>
        <w:t>2</w:t>
      </w:r>
      <w:r>
        <w:rPr>
          <w:rFonts w:ascii="仿宋_GB2312" w:hAnsi="宋体" w:eastAsia="仿宋_GB2312" w:cs="Courier New"/>
          <w:sz w:val="32"/>
          <w:szCs w:val="32"/>
        </w:rPr>
        <w:t>年</w:t>
      </w:r>
      <w:r>
        <w:rPr>
          <w:rFonts w:hint="eastAsia" w:ascii="仿宋_GB2312" w:hAnsi="宋体" w:eastAsia="仿宋_GB2312" w:cs="Courier New"/>
          <w:sz w:val="32"/>
          <w:szCs w:val="32"/>
        </w:rPr>
        <w:t>一般公共预算支出年初预算为</w:t>
      </w:r>
      <w:r>
        <w:rPr>
          <w:rFonts w:hint="eastAsia" w:ascii="仿宋_GB2312" w:eastAsia="仿宋_GB2312"/>
          <w:sz w:val="32"/>
          <w:szCs w:val="32"/>
          <w:lang w:val="en-US" w:eastAsia="zh-CN"/>
        </w:rPr>
        <w:t>272.89</w:t>
      </w:r>
      <w:r>
        <w:rPr>
          <w:rFonts w:hint="eastAsia" w:ascii="仿宋_GB2312" w:hAnsi="宋体" w:eastAsia="仿宋_GB2312" w:cs="Courier New"/>
          <w:sz w:val="32"/>
          <w:szCs w:val="32"/>
        </w:rPr>
        <w:t>万元。主要用于以下方面：一般公共服务（类）支出</w:t>
      </w:r>
      <w:r>
        <w:rPr>
          <w:rFonts w:hint="eastAsia" w:ascii="仿宋_GB2312" w:eastAsia="仿宋_GB2312"/>
          <w:sz w:val="32"/>
          <w:szCs w:val="32"/>
          <w:lang w:val="en-US" w:eastAsia="zh-CN"/>
        </w:rPr>
        <w:t>272.89</w:t>
      </w:r>
      <w:r>
        <w:rPr>
          <w:rFonts w:hint="eastAsia" w:ascii="仿宋_GB2312" w:hAnsi="宋体" w:eastAsia="仿宋_GB2312" w:cs="Courier New"/>
          <w:sz w:val="32"/>
          <w:szCs w:val="32"/>
        </w:rPr>
        <w:t>万元，占</w:t>
      </w:r>
      <w:r>
        <w:rPr>
          <w:rFonts w:hint="eastAsia" w:ascii="仿宋_GB2312" w:eastAsia="仿宋_GB2312"/>
          <w:sz w:val="32"/>
          <w:szCs w:val="32"/>
          <w:lang w:val="en-US" w:eastAsia="zh-CN"/>
        </w:rPr>
        <w:t>100</w:t>
      </w:r>
      <w:r>
        <w:rPr>
          <w:rFonts w:ascii="仿宋_GB2312" w:hAnsi="宋体" w:eastAsia="仿宋_GB2312" w:cs="Courier New"/>
          <w:sz w:val="32"/>
          <w:szCs w:val="32"/>
        </w:rPr>
        <w:t>%</w:t>
      </w:r>
      <w:r>
        <w:rPr>
          <w:rFonts w:hint="eastAsia" w:ascii="仿宋_GB2312" w:hAnsi="宋体" w:eastAsia="仿宋_GB2312" w:cs="Courier New"/>
          <w:sz w:val="32"/>
          <w:szCs w:val="32"/>
          <w:lang w:val="en-US" w:eastAsia="zh-CN"/>
        </w:rPr>
        <w:t>。</w:t>
      </w:r>
    </w:p>
    <w:p>
      <w:pPr>
        <w:pStyle w:val="13"/>
        <w:keepNext w:val="0"/>
        <w:keepLines w:val="0"/>
        <w:pageBreakBefore w:val="0"/>
        <w:widowControl w:val="0"/>
        <w:shd w:val="clear" w:color="auto" w:fill="auto"/>
        <w:tabs>
          <w:tab w:val="left" w:pos="1373"/>
        </w:tabs>
        <w:wordWrap/>
        <w:topLinePunct w:val="0"/>
        <w:bidi w:val="0"/>
        <w:spacing w:before="0" w:line="600" w:lineRule="exact"/>
        <w:ind w:left="0" w:right="0" w:firstLine="640" w:firstLineChars="200"/>
        <w:jc w:val="both"/>
        <w:textAlignment w:val="auto"/>
        <w:rPr>
          <w:rFonts w:hint="eastAsia" w:ascii="黑体" w:hAnsi="黑体" w:eastAsia="黑体" w:cs="Times New Roman"/>
          <w:kern w:val="2"/>
          <w:sz w:val="32"/>
          <w:szCs w:val="32"/>
          <w:u w:val="none"/>
          <w:shd w:val="clear" w:color="auto" w:fill="auto"/>
          <w:lang w:val="en-US" w:eastAsia="zh-CN" w:bidi="ar-SA"/>
        </w:rPr>
      </w:pPr>
      <w:r>
        <w:rPr>
          <w:rFonts w:hint="eastAsia" w:ascii="黑体" w:hAnsi="黑体" w:eastAsia="黑体" w:cs="Times New Roman"/>
          <w:kern w:val="2"/>
          <w:sz w:val="32"/>
          <w:szCs w:val="32"/>
          <w:u w:val="none"/>
          <w:shd w:val="clear" w:color="auto" w:fill="auto"/>
          <w:lang w:val="en-US" w:eastAsia="zh-CN" w:bidi="ar-SA"/>
        </w:rPr>
        <w:t>六、一般公共预算基本支出情况说明</w:t>
      </w:r>
    </w:p>
    <w:p>
      <w:pPr>
        <w:keepNext w:val="0"/>
        <w:keepLines w:val="0"/>
        <w:pageBreakBefore w:val="0"/>
        <w:wordWrap/>
        <w:topLinePunct w:val="0"/>
        <w:bidi w:val="0"/>
        <w:spacing w:line="600" w:lineRule="exact"/>
        <w:ind w:firstLine="640" w:firstLineChars="200"/>
        <w:jc w:val="both"/>
        <w:textAlignment w:val="auto"/>
        <w:rPr>
          <w:rFonts w:hint="default" w:ascii="仿宋_GB2312" w:eastAsia="仿宋_GB2312" w:cs="Times New Roman"/>
          <w:sz w:val="32"/>
          <w:szCs w:val="32"/>
          <w:lang w:val="en-US" w:eastAsia="zh-CN"/>
        </w:rPr>
      </w:pPr>
      <w:r>
        <w:rPr>
          <w:rFonts w:hint="eastAsia" w:ascii="仿宋_GB2312" w:eastAsia="仿宋_GB2312" w:cs="Times New Roman"/>
          <w:sz w:val="32"/>
          <w:szCs w:val="32"/>
        </w:rPr>
        <w:t>我局2022年一般公共预算基本支出年初预算数为</w:t>
      </w:r>
      <w:r>
        <w:rPr>
          <w:rFonts w:hint="eastAsia" w:ascii="仿宋_GB2312" w:eastAsia="仿宋_GB2312" w:cs="Times New Roman"/>
          <w:sz w:val="32"/>
          <w:szCs w:val="32"/>
          <w:lang w:val="en-US" w:eastAsia="zh-CN"/>
        </w:rPr>
        <w:t>272.89</w:t>
      </w:r>
      <w:r>
        <w:rPr>
          <w:rFonts w:hint="eastAsia" w:ascii="仿宋_GB2312" w:eastAsia="仿宋_GB2312" w:cs="Times New Roman"/>
          <w:sz w:val="32"/>
          <w:szCs w:val="32"/>
        </w:rPr>
        <w:t>万元。其中:人员经费支出</w:t>
      </w:r>
      <w:r>
        <w:rPr>
          <w:rFonts w:hint="eastAsia" w:ascii="仿宋_GB2312" w:eastAsia="仿宋_GB2312" w:cs="Times New Roman"/>
          <w:sz w:val="32"/>
          <w:szCs w:val="32"/>
          <w:lang w:val="en-US" w:eastAsia="zh-CN"/>
        </w:rPr>
        <w:t>190.36</w:t>
      </w:r>
      <w:r>
        <w:rPr>
          <w:rFonts w:hint="eastAsia" w:ascii="仿宋_GB2312" w:eastAsia="仿宋_GB2312" w:cs="Times New Roman"/>
          <w:sz w:val="32"/>
          <w:szCs w:val="32"/>
        </w:rPr>
        <w:t>万元，占</w:t>
      </w:r>
      <w:r>
        <w:rPr>
          <w:rFonts w:hint="eastAsia" w:ascii="仿宋_GB2312" w:eastAsia="仿宋_GB2312" w:cs="Times New Roman"/>
          <w:sz w:val="32"/>
          <w:szCs w:val="32"/>
          <w:lang w:val="en-US" w:eastAsia="zh-CN"/>
        </w:rPr>
        <w:t>69.76</w:t>
      </w:r>
      <w:r>
        <w:rPr>
          <w:rFonts w:hint="eastAsia" w:ascii="仿宋_GB2312" w:eastAsia="仿宋_GB2312" w:cs="Times New Roman"/>
          <w:sz w:val="32"/>
          <w:szCs w:val="32"/>
        </w:rPr>
        <w:t>%；公用经费支出</w:t>
      </w:r>
      <w:r>
        <w:rPr>
          <w:rFonts w:hint="eastAsia" w:ascii="仿宋_GB2312" w:eastAsia="仿宋_GB2312" w:cs="Times New Roman"/>
          <w:sz w:val="32"/>
          <w:szCs w:val="32"/>
          <w:lang w:val="en-US" w:eastAsia="zh-CN"/>
        </w:rPr>
        <w:t>22.94</w:t>
      </w:r>
      <w:r>
        <w:rPr>
          <w:rFonts w:hint="eastAsia" w:ascii="仿宋_GB2312" w:eastAsia="仿宋_GB2312" w:cs="Times New Roman"/>
          <w:sz w:val="32"/>
          <w:szCs w:val="32"/>
        </w:rPr>
        <w:t>万元，占</w:t>
      </w:r>
      <w:r>
        <w:rPr>
          <w:rFonts w:hint="eastAsia" w:ascii="仿宋_GB2312" w:eastAsia="仿宋_GB2312" w:cs="Times New Roman"/>
          <w:sz w:val="32"/>
          <w:szCs w:val="32"/>
          <w:lang w:val="en-US" w:eastAsia="zh-CN"/>
        </w:rPr>
        <w:t>8.41</w:t>
      </w:r>
      <w:r>
        <w:rPr>
          <w:rFonts w:hint="eastAsia" w:ascii="仿宋_GB2312" w:eastAsia="仿宋_GB2312" w:cs="Times New Roman"/>
          <w:sz w:val="32"/>
          <w:szCs w:val="32"/>
        </w:rPr>
        <w:t>%</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项目支出59.59万元，占21.84%。</w:t>
      </w:r>
    </w:p>
    <w:p>
      <w:pPr>
        <w:keepNext w:val="0"/>
        <w:keepLines w:val="0"/>
        <w:pageBreakBefore w:val="0"/>
        <w:wordWrap/>
        <w:topLinePunct w:val="0"/>
        <w:bidi w:val="0"/>
        <w:spacing w:line="600" w:lineRule="exact"/>
        <w:ind w:firstLine="640" w:firstLineChars="200"/>
        <w:jc w:val="both"/>
        <w:textAlignment w:val="auto"/>
        <w:rPr>
          <w:rFonts w:hint="eastAsia" w:ascii="仿宋_GB2312" w:eastAsia="仿宋_GB2312"/>
          <w:sz w:val="32"/>
          <w:szCs w:val="32"/>
        </w:rPr>
      </w:pPr>
      <w:r>
        <w:rPr>
          <w:rFonts w:hint="eastAsia" w:ascii="黑体" w:hAnsi="Times New Roman" w:eastAsia="黑体" w:cs="黑体"/>
          <w:kern w:val="0"/>
          <w:sz w:val="32"/>
          <w:szCs w:val="32"/>
          <w:lang w:val="en-US" w:eastAsia="zh-CN"/>
        </w:rPr>
        <w:t>七</w:t>
      </w:r>
      <w:r>
        <w:rPr>
          <w:rFonts w:hint="eastAsia" w:ascii="黑体" w:hAnsi="Times New Roman" w:eastAsia="黑体" w:cs="黑体"/>
          <w:kern w:val="0"/>
          <w:sz w:val="32"/>
          <w:szCs w:val="32"/>
        </w:rPr>
        <w:t>、“三公”经费支出预算情况说明</w:t>
      </w:r>
    </w:p>
    <w:p>
      <w:pPr>
        <w:keepNext w:val="0"/>
        <w:keepLines w:val="0"/>
        <w:pageBreakBefore w:val="0"/>
        <w:wordWrap/>
        <w:topLinePunct w:val="0"/>
        <w:bidi w:val="0"/>
        <w:adjustRightInd w:val="0"/>
        <w:snapToGrid w:val="0"/>
        <w:spacing w:line="600" w:lineRule="exact"/>
        <w:ind w:firstLine="640" w:firstLineChars="200"/>
        <w:jc w:val="both"/>
        <w:textAlignment w:val="auto"/>
        <w:rPr>
          <w:rFonts w:hint="eastAsia" w:ascii="仿宋_GB2312" w:hAnsi="宋体" w:eastAsia="仿宋_GB2312" w:cs="Courier New"/>
          <w:sz w:val="32"/>
          <w:szCs w:val="32"/>
        </w:rPr>
      </w:pPr>
      <w:r>
        <w:rPr>
          <w:rFonts w:hint="eastAsia" w:ascii="仿宋_GB2312" w:eastAsia="仿宋_GB2312"/>
          <w:sz w:val="32"/>
          <w:szCs w:val="32"/>
        </w:rPr>
        <w:t>我</w:t>
      </w:r>
      <w:r>
        <w:rPr>
          <w:rFonts w:hint="eastAsia" w:ascii="仿宋_GB2312" w:hAnsi="宋体" w:eastAsia="仿宋_GB2312" w:cs="Courier New"/>
          <w:sz w:val="32"/>
          <w:szCs w:val="32"/>
        </w:rPr>
        <w:t>局2022年“三公”经费预算为</w:t>
      </w:r>
      <w:r>
        <w:rPr>
          <w:rFonts w:hint="eastAsia" w:ascii="仿宋_GB2312" w:eastAsia="仿宋_GB2312"/>
          <w:sz w:val="32"/>
          <w:szCs w:val="32"/>
        </w:rPr>
        <w:t>1.90</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其中：公务用车运行费1.60万元，公务接待费0.30万元。</w:t>
      </w:r>
      <w:r>
        <w:rPr>
          <w:rFonts w:hint="eastAsia" w:ascii="仿宋_GB2312" w:hAnsi="宋体" w:eastAsia="仿宋_GB2312" w:cs="Courier New"/>
          <w:sz w:val="32"/>
          <w:szCs w:val="32"/>
        </w:rPr>
        <w:t>2021年“三公”经费支出预算数比2021年减少6.94万元，</w:t>
      </w:r>
      <w:r>
        <w:rPr>
          <w:rFonts w:hint="eastAsia" w:ascii="仿宋_GB2312" w:hAnsi="宋体" w:eastAsia="仿宋_GB2312" w:cs="Courier New"/>
          <w:sz w:val="32"/>
          <w:szCs w:val="32"/>
          <w:lang w:val="en-US" w:eastAsia="zh-CN"/>
        </w:rPr>
        <w:t>下降78.51%</w:t>
      </w:r>
      <w:r>
        <w:rPr>
          <w:rFonts w:hint="eastAsia" w:ascii="仿宋_GB2312" w:hAnsi="宋体" w:eastAsia="仿宋_GB2312" w:cs="Courier New"/>
          <w:sz w:val="32"/>
          <w:szCs w:val="32"/>
        </w:rPr>
        <w:t>减少原因：严格执行中央八项规定厉行节约。</w:t>
      </w:r>
    </w:p>
    <w:p>
      <w:pPr>
        <w:keepNext w:val="0"/>
        <w:keepLines w:val="0"/>
        <w:pageBreakBefore w:val="0"/>
        <w:kinsoku w:val="0"/>
        <w:wordWrap/>
        <w:overflowPunct w:val="0"/>
        <w:topLinePunct w:val="0"/>
        <w:autoSpaceDE w:val="0"/>
        <w:autoSpaceDN w:val="0"/>
        <w:bidi w:val="0"/>
        <w:adjustRightInd w:val="0"/>
        <w:snapToGrid w:val="0"/>
        <w:spacing w:line="600" w:lineRule="exact"/>
        <w:ind w:firstLine="640" w:firstLineChars="200"/>
        <w:jc w:val="both"/>
        <w:textAlignment w:val="auto"/>
        <w:rPr>
          <w:rFonts w:ascii="仿宋_GB2312" w:hAnsi="宋体" w:eastAsia="仿宋_GB2312" w:cs="Courier New"/>
          <w:sz w:val="32"/>
          <w:szCs w:val="32"/>
        </w:rPr>
      </w:pPr>
      <w:r>
        <w:rPr>
          <w:rFonts w:hint="eastAsia" w:ascii="仿宋_GB2312" w:hAnsi="宋体" w:eastAsia="仿宋_GB2312" w:cs="Courier New"/>
          <w:sz w:val="32"/>
          <w:szCs w:val="32"/>
        </w:rPr>
        <w:t>具体支出情况如下：</w:t>
      </w:r>
    </w:p>
    <w:p>
      <w:pPr>
        <w:keepNext w:val="0"/>
        <w:keepLines w:val="0"/>
        <w:pageBreakBefore w:val="0"/>
        <w:kinsoku w:val="0"/>
        <w:wordWrap/>
        <w:overflowPunct w:val="0"/>
        <w:topLinePunct w:val="0"/>
        <w:autoSpaceDE w:val="0"/>
        <w:autoSpaceDN w:val="0"/>
        <w:bidi w:val="0"/>
        <w:adjustRightInd w:val="0"/>
        <w:snapToGrid w:val="0"/>
        <w:spacing w:line="600" w:lineRule="exact"/>
        <w:ind w:firstLine="639" w:firstLineChars="200"/>
        <w:jc w:val="both"/>
        <w:textAlignment w:val="auto"/>
        <w:rPr>
          <w:rFonts w:hint="eastAsia" w:ascii="仿宋_GB2312" w:hAnsi="宋体" w:eastAsia="仿宋_GB2312" w:cs="Courier New"/>
          <w:sz w:val="32"/>
          <w:szCs w:val="32"/>
        </w:rPr>
      </w:pPr>
      <w:r>
        <w:rPr>
          <w:rFonts w:hint="eastAsia" w:ascii="仿宋_GB2312" w:hAnsi="Times New Roman" w:eastAsia="仿宋_GB2312" w:cs="仿宋_GB2312"/>
          <w:b/>
          <w:spacing w:val="-1"/>
          <w:kern w:val="0"/>
          <w:sz w:val="32"/>
          <w:szCs w:val="32"/>
        </w:rPr>
        <w:t>（一）因公出国（境）费</w:t>
      </w:r>
      <w:r>
        <w:rPr>
          <w:rFonts w:hint="eastAsia" w:ascii="仿宋_GB2312" w:eastAsia="仿宋_GB2312"/>
          <w:sz w:val="32"/>
          <w:szCs w:val="32"/>
        </w:rPr>
        <w:t>0</w:t>
      </w:r>
      <w:r>
        <w:rPr>
          <w:rFonts w:hint="eastAsia" w:ascii="仿宋_GB2312" w:eastAsia="仿宋_GB2312"/>
          <w:sz w:val="32"/>
          <w:szCs w:val="32"/>
          <w:lang w:val="en-US" w:eastAsia="zh-CN"/>
        </w:rPr>
        <w:t>.00</w:t>
      </w:r>
      <w:r>
        <w:rPr>
          <w:rFonts w:hint="eastAsia" w:ascii="仿宋_GB2312" w:hAnsi="Times New Roman" w:eastAsia="仿宋_GB2312" w:cs="仿宋_GB2312"/>
          <w:spacing w:val="-1"/>
          <w:kern w:val="0"/>
          <w:sz w:val="32"/>
          <w:szCs w:val="32"/>
        </w:rPr>
        <w:t>万元，</w:t>
      </w:r>
      <w:r>
        <w:rPr>
          <w:rFonts w:hint="eastAsia" w:ascii="仿宋_GB2312" w:hAnsi="宋体" w:eastAsia="仿宋_GB2312" w:cs="Courier New"/>
          <w:sz w:val="32"/>
          <w:szCs w:val="32"/>
        </w:rPr>
        <w:t>主要用于单位工作人员公务出国（境）的住宿费、旅费、伙食补助费、杂费、培训费等支出。预算比2021年无变化。</w:t>
      </w:r>
    </w:p>
    <w:p>
      <w:pPr>
        <w:pStyle w:val="4"/>
        <w:keepNext w:val="0"/>
        <w:keepLines w:val="0"/>
        <w:pageBreakBefore w:val="0"/>
        <w:shd w:val="clear" w:color="auto" w:fill="FFFFFF"/>
        <w:wordWrap/>
        <w:topLinePunct w:val="0"/>
        <w:bidi w:val="0"/>
        <w:spacing w:before="0" w:beforeAutospacing="0" w:after="0" w:afterAutospacing="0" w:line="600" w:lineRule="exact"/>
        <w:ind w:firstLine="639" w:firstLineChars="200"/>
        <w:jc w:val="both"/>
        <w:textAlignment w:val="auto"/>
        <w:rPr>
          <w:rFonts w:hint="eastAsia" w:ascii="仿宋_GB2312" w:eastAsia="仿宋_GB2312" w:cs="Courier New"/>
          <w:sz w:val="32"/>
          <w:szCs w:val="32"/>
        </w:rPr>
      </w:pPr>
      <w:r>
        <w:rPr>
          <w:rFonts w:hint="eastAsia" w:ascii="仿宋_GB2312" w:hAnsi="Times New Roman" w:eastAsia="仿宋_GB2312" w:cs="仿宋_GB2312"/>
          <w:b/>
          <w:spacing w:val="-1"/>
          <w:sz w:val="32"/>
          <w:szCs w:val="32"/>
        </w:rPr>
        <w:t>（二）公务用车购置及运行费</w:t>
      </w:r>
      <w:r>
        <w:rPr>
          <w:rFonts w:hint="eastAsia" w:ascii="仿宋_GB2312" w:eastAsia="仿宋_GB2312"/>
          <w:sz w:val="32"/>
          <w:szCs w:val="32"/>
        </w:rPr>
        <w:t>1.6</w:t>
      </w:r>
      <w:r>
        <w:rPr>
          <w:rFonts w:hint="eastAsia" w:ascii="仿宋_GB2312" w:eastAsia="仿宋_GB2312"/>
          <w:sz w:val="32"/>
          <w:szCs w:val="32"/>
          <w:lang w:val="en-US" w:eastAsia="zh-CN"/>
        </w:rPr>
        <w:t>0</w:t>
      </w:r>
      <w:r>
        <w:rPr>
          <w:rFonts w:hint="eastAsia" w:ascii="仿宋_GB2312" w:hAnsi="Times New Roman" w:eastAsia="仿宋_GB2312" w:cs="仿宋_GB2312"/>
          <w:sz w:val="32"/>
          <w:szCs w:val="32"/>
        </w:rPr>
        <w:t>万</w:t>
      </w:r>
      <w:r>
        <w:rPr>
          <w:rFonts w:hint="eastAsia" w:ascii="仿宋_GB2312" w:eastAsia="仿宋_GB2312" w:cs="Courier New"/>
          <w:sz w:val="32"/>
          <w:szCs w:val="32"/>
        </w:rPr>
        <w:t>元，其中，公务用车购置费</w:t>
      </w:r>
      <w:r>
        <w:rPr>
          <w:rFonts w:hint="eastAsia" w:ascii="仿宋_GB2312" w:eastAsia="仿宋_GB2312"/>
          <w:sz w:val="32"/>
          <w:szCs w:val="32"/>
        </w:rPr>
        <w:t>0</w:t>
      </w:r>
      <w:r>
        <w:rPr>
          <w:rFonts w:hint="eastAsia" w:ascii="仿宋_GB2312" w:eastAsia="仿宋_GB2312"/>
          <w:sz w:val="32"/>
          <w:szCs w:val="32"/>
          <w:lang w:val="en-US" w:eastAsia="zh-CN"/>
        </w:rPr>
        <w:t>.00</w:t>
      </w:r>
      <w:r>
        <w:rPr>
          <w:rFonts w:hint="eastAsia" w:ascii="仿宋_GB2312" w:eastAsia="仿宋_GB2312" w:cs="Courier New"/>
          <w:sz w:val="32"/>
          <w:szCs w:val="32"/>
        </w:rPr>
        <w:t>万元；公务用车运行维护费</w:t>
      </w:r>
      <w:r>
        <w:rPr>
          <w:rFonts w:hint="eastAsia" w:ascii="仿宋_GB2312" w:eastAsia="仿宋_GB2312"/>
          <w:sz w:val="32"/>
          <w:szCs w:val="32"/>
        </w:rPr>
        <w:t>1.6</w:t>
      </w:r>
      <w:r>
        <w:rPr>
          <w:rFonts w:hint="eastAsia" w:ascii="仿宋_GB2312" w:eastAsia="仿宋_GB2312"/>
          <w:sz w:val="32"/>
          <w:szCs w:val="32"/>
          <w:lang w:val="en-US" w:eastAsia="zh-CN"/>
        </w:rPr>
        <w:t>0</w:t>
      </w:r>
      <w:r>
        <w:rPr>
          <w:rFonts w:hint="eastAsia" w:ascii="仿宋_GB2312" w:eastAsia="仿宋_GB2312" w:cs="Courier New"/>
          <w:sz w:val="32"/>
          <w:szCs w:val="32"/>
        </w:rPr>
        <w:t>万元，主要用于开展工作所需公务用车的燃料费、维修费、过路过桥费、保险费、安全奖励费用等支出。公务用车运行维护费预算数比2021年减少</w:t>
      </w:r>
      <w:r>
        <w:rPr>
          <w:rFonts w:hint="eastAsia" w:ascii="仿宋_GB2312" w:eastAsia="仿宋_GB2312"/>
          <w:sz w:val="32"/>
          <w:szCs w:val="32"/>
        </w:rPr>
        <w:t>0.28</w:t>
      </w:r>
      <w:r>
        <w:rPr>
          <w:rFonts w:hint="eastAsia" w:ascii="仿宋_GB2312" w:eastAsia="仿宋_GB2312" w:cs="Courier New"/>
          <w:sz w:val="32"/>
          <w:szCs w:val="32"/>
        </w:rPr>
        <w:t>万元，主要原因：</w:t>
      </w:r>
      <w:r>
        <w:rPr>
          <w:rFonts w:hint="eastAsia" w:ascii="仿宋_GB2312" w:eastAsia="仿宋_GB2312"/>
          <w:color w:val="000000"/>
          <w:sz w:val="32"/>
          <w:szCs w:val="32"/>
        </w:rPr>
        <w:t>按照中央八项规定文件精神要求</w:t>
      </w:r>
      <w:r>
        <w:rPr>
          <w:rFonts w:hint="eastAsia" w:ascii="仿宋_GB2312" w:eastAsia="仿宋_GB2312" w:cs="Courier New"/>
          <w:sz w:val="32"/>
          <w:szCs w:val="32"/>
        </w:rPr>
        <w:t>厉行节约。</w:t>
      </w:r>
    </w:p>
    <w:p>
      <w:pPr>
        <w:pStyle w:val="4"/>
        <w:keepNext w:val="0"/>
        <w:keepLines w:val="0"/>
        <w:pageBreakBefore w:val="0"/>
        <w:shd w:val="clear" w:color="auto" w:fill="FFFFFF"/>
        <w:wordWrap/>
        <w:topLinePunct w:val="0"/>
        <w:bidi w:val="0"/>
        <w:spacing w:before="0" w:beforeAutospacing="0" w:after="0" w:afterAutospacing="0" w:line="600" w:lineRule="exact"/>
        <w:ind w:firstLine="639" w:firstLineChars="200"/>
        <w:jc w:val="both"/>
        <w:textAlignment w:val="auto"/>
        <w:rPr>
          <w:rFonts w:hint="eastAsia" w:ascii="仿宋_GB2312" w:eastAsia="仿宋_GB2312" w:cs="Courier New"/>
          <w:sz w:val="32"/>
          <w:szCs w:val="32"/>
        </w:rPr>
      </w:pPr>
      <w:r>
        <w:rPr>
          <w:rFonts w:hint="eastAsia" w:ascii="仿宋_GB2312" w:hAnsi="Times New Roman" w:eastAsia="仿宋_GB2312" w:cs="仿宋_GB2312"/>
          <w:b/>
          <w:spacing w:val="-1"/>
          <w:sz w:val="32"/>
          <w:szCs w:val="32"/>
        </w:rPr>
        <w:t>（三）公务接待费</w:t>
      </w:r>
      <w:r>
        <w:rPr>
          <w:rFonts w:hint="eastAsia" w:ascii="仿宋_GB2312" w:eastAsia="仿宋_GB2312"/>
          <w:sz w:val="32"/>
          <w:szCs w:val="32"/>
        </w:rPr>
        <w:t>0.3</w:t>
      </w:r>
      <w:r>
        <w:rPr>
          <w:rFonts w:hint="eastAsia" w:ascii="仿宋_GB2312" w:eastAsia="仿宋_GB2312"/>
          <w:sz w:val="32"/>
          <w:szCs w:val="32"/>
          <w:lang w:val="en-US" w:eastAsia="zh-CN"/>
        </w:rPr>
        <w:t>0</w:t>
      </w:r>
      <w:r>
        <w:rPr>
          <w:rFonts w:hint="eastAsia" w:ascii="仿宋_GB2312" w:eastAsia="仿宋_GB2312" w:cs="Courier New"/>
          <w:sz w:val="32"/>
          <w:szCs w:val="32"/>
        </w:rPr>
        <w:t>万元，主要用于按规定开支的各类公务接待（含外宾接待）支出。预算数比2021年减少6.66万元。主要原因：</w:t>
      </w:r>
      <w:r>
        <w:rPr>
          <w:rFonts w:hint="eastAsia" w:ascii="仿宋_GB2312" w:eastAsia="仿宋_GB2312"/>
          <w:color w:val="000000"/>
          <w:sz w:val="32"/>
          <w:szCs w:val="32"/>
        </w:rPr>
        <w:t>按照中央八项规定文件精神要求</w:t>
      </w:r>
      <w:r>
        <w:rPr>
          <w:rFonts w:hint="eastAsia" w:ascii="仿宋_GB2312" w:eastAsia="仿宋_GB2312" w:cs="Courier New"/>
          <w:sz w:val="32"/>
          <w:szCs w:val="32"/>
        </w:rPr>
        <w:t>厉行节约。</w:t>
      </w:r>
    </w:p>
    <w:p>
      <w:pPr>
        <w:keepNext w:val="0"/>
        <w:keepLines w:val="0"/>
        <w:pageBreakBefore w:val="0"/>
        <w:wordWrap/>
        <w:topLinePunct w:val="0"/>
        <w:bidi w:val="0"/>
        <w:spacing w:line="600" w:lineRule="exact"/>
        <w:ind w:firstLine="640" w:firstLineChars="200"/>
        <w:jc w:val="both"/>
        <w:textAlignment w:val="auto"/>
        <w:rPr>
          <w:rFonts w:hint="eastAsia" w:ascii="仿宋_GB2312" w:eastAsia="仿宋_GB2312"/>
          <w:sz w:val="32"/>
          <w:szCs w:val="32"/>
        </w:rPr>
      </w:pPr>
      <w:r>
        <w:rPr>
          <w:rFonts w:hint="eastAsia" w:ascii="黑体" w:hAnsi="Times New Roman" w:eastAsia="黑体" w:cs="黑体"/>
          <w:kern w:val="0"/>
          <w:sz w:val="32"/>
          <w:szCs w:val="32"/>
          <w:lang w:val="en-US" w:eastAsia="zh-CN"/>
        </w:rPr>
        <w:t>八</w:t>
      </w:r>
      <w:r>
        <w:rPr>
          <w:rFonts w:hint="eastAsia" w:ascii="黑体" w:hAnsi="Times New Roman" w:eastAsia="黑体" w:cs="黑体"/>
          <w:kern w:val="0"/>
          <w:sz w:val="32"/>
          <w:szCs w:val="32"/>
        </w:rPr>
        <w:t>、政府性基金预算支出决算情况说明</w:t>
      </w:r>
    </w:p>
    <w:p>
      <w:pPr>
        <w:keepNext w:val="0"/>
        <w:keepLines w:val="0"/>
        <w:pageBreakBefore w:val="0"/>
        <w:wordWrap/>
        <w:topLinePunct w:val="0"/>
        <w:bidi w:val="0"/>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我</w:t>
      </w:r>
      <w:r>
        <w:rPr>
          <w:rFonts w:hint="eastAsia" w:ascii="仿宋_GB2312" w:hAnsi="宋体" w:eastAsia="仿宋_GB2312" w:cs="Courier New"/>
          <w:sz w:val="32"/>
          <w:szCs w:val="32"/>
        </w:rPr>
        <w:t>局2022年无使用政府性基金预算拨款安排的支出。</w:t>
      </w:r>
    </w:p>
    <w:p>
      <w:pPr>
        <w:keepNext w:val="0"/>
        <w:keepLines w:val="0"/>
        <w:pageBreakBefore w:val="0"/>
        <w:kinsoku w:val="0"/>
        <w:wordWrap/>
        <w:overflowPunct w:val="0"/>
        <w:topLinePunct w:val="0"/>
        <w:autoSpaceDE w:val="0"/>
        <w:autoSpaceDN w:val="0"/>
        <w:bidi w:val="0"/>
        <w:adjustRightInd w:val="0"/>
        <w:snapToGrid w:val="0"/>
        <w:spacing w:line="600" w:lineRule="exact"/>
        <w:ind w:firstLine="636" w:firstLineChars="200"/>
        <w:jc w:val="both"/>
        <w:textAlignment w:val="auto"/>
        <w:rPr>
          <w:rFonts w:hint="eastAsia" w:ascii="仿宋_GB2312" w:hAnsi="宋体" w:eastAsia="仿宋_GB2312" w:cs="Courier New"/>
          <w:sz w:val="32"/>
          <w:szCs w:val="32"/>
        </w:rPr>
      </w:pPr>
      <w:r>
        <w:rPr>
          <w:rFonts w:hint="eastAsia" w:ascii="黑体" w:hAnsi="Times New Roman" w:eastAsia="黑体" w:cs="黑体"/>
          <w:spacing w:val="-1"/>
          <w:kern w:val="0"/>
          <w:sz w:val="32"/>
          <w:szCs w:val="32"/>
        </w:rPr>
        <w:t>九、其他重要事项情况说明</w:t>
      </w:r>
    </w:p>
    <w:p>
      <w:pPr>
        <w:keepNext w:val="0"/>
        <w:keepLines w:val="0"/>
        <w:pageBreakBefore w:val="0"/>
        <w:kinsoku w:val="0"/>
        <w:wordWrap/>
        <w:overflowPunct w:val="0"/>
        <w:topLinePunct w:val="0"/>
        <w:autoSpaceDE w:val="0"/>
        <w:autoSpaceDN w:val="0"/>
        <w:bidi w:val="0"/>
        <w:adjustRightInd w:val="0"/>
        <w:snapToGrid w:val="0"/>
        <w:spacing w:line="600" w:lineRule="exact"/>
        <w:ind w:firstLine="643" w:firstLineChars="200"/>
        <w:jc w:val="both"/>
        <w:textAlignment w:val="auto"/>
        <w:rPr>
          <w:rFonts w:hint="eastAsia" w:ascii="仿宋_GB2312" w:hAnsi="宋体" w:eastAsia="仿宋_GB2312" w:cs="Courier New"/>
          <w:sz w:val="32"/>
          <w:szCs w:val="32"/>
        </w:rPr>
      </w:pPr>
      <w:r>
        <w:rPr>
          <w:rFonts w:hint="eastAsia" w:ascii="仿宋_GB2312" w:hAnsi="Times New Roman" w:eastAsia="仿宋_GB2312" w:cs="仿宋_GB2312"/>
          <w:b/>
          <w:kern w:val="0"/>
          <w:sz w:val="32"/>
          <w:szCs w:val="32"/>
        </w:rPr>
        <w:t>（一）机关运行经费支出情况</w:t>
      </w:r>
    </w:p>
    <w:p>
      <w:pPr>
        <w:keepNext w:val="0"/>
        <w:keepLines w:val="0"/>
        <w:pageBreakBefore w:val="0"/>
        <w:kinsoku w:val="0"/>
        <w:wordWrap/>
        <w:overflowPunct w:val="0"/>
        <w:topLinePunct w:val="0"/>
        <w:autoSpaceDE w:val="0"/>
        <w:autoSpaceDN w:val="0"/>
        <w:bidi w:val="0"/>
        <w:adjustRightInd w:val="0"/>
        <w:snapToGrid w:val="0"/>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我</w:t>
      </w:r>
      <w:r>
        <w:rPr>
          <w:rFonts w:hint="eastAsia" w:ascii="仿宋_GB2312" w:hAnsi="宋体" w:eastAsia="仿宋_GB2312" w:cs="Courier New"/>
          <w:sz w:val="32"/>
          <w:szCs w:val="32"/>
        </w:rPr>
        <w:t>局</w:t>
      </w:r>
      <w:r>
        <w:rPr>
          <w:rFonts w:ascii="仿宋_GB2312" w:hAnsi="宋体" w:eastAsia="仿宋_GB2312" w:cs="Courier New"/>
          <w:sz w:val="32"/>
          <w:szCs w:val="32"/>
        </w:rPr>
        <w:t>20</w:t>
      </w:r>
      <w:r>
        <w:rPr>
          <w:rFonts w:hint="eastAsia" w:ascii="仿宋_GB2312" w:hAnsi="宋体" w:eastAsia="仿宋_GB2312" w:cs="Courier New"/>
          <w:sz w:val="32"/>
          <w:szCs w:val="32"/>
        </w:rPr>
        <w:t>22</w:t>
      </w:r>
      <w:r>
        <w:rPr>
          <w:rFonts w:ascii="仿宋_GB2312" w:hAnsi="宋体" w:eastAsia="仿宋_GB2312" w:cs="Courier New"/>
          <w:sz w:val="32"/>
          <w:szCs w:val="32"/>
        </w:rPr>
        <w:t>年</w:t>
      </w:r>
      <w:r>
        <w:rPr>
          <w:rFonts w:hint="eastAsia" w:ascii="仿宋_GB2312" w:hAnsi="宋体" w:eastAsia="仿宋_GB2312" w:cs="Courier New"/>
          <w:sz w:val="32"/>
          <w:szCs w:val="32"/>
        </w:rPr>
        <w:t>机关运行经费支出预算</w:t>
      </w:r>
      <w:r>
        <w:rPr>
          <w:rFonts w:hint="eastAsia" w:ascii="仿宋_GB2312" w:eastAsia="仿宋_GB2312"/>
          <w:sz w:val="32"/>
          <w:szCs w:val="32"/>
          <w:lang w:val="en-US" w:eastAsia="zh-CN"/>
        </w:rPr>
        <w:t>22.94</w:t>
      </w:r>
      <w:r>
        <w:rPr>
          <w:rFonts w:hint="eastAsia" w:ascii="仿宋_GB2312" w:hAnsi="宋体" w:eastAsia="仿宋_GB2312" w:cs="Courier New"/>
          <w:sz w:val="32"/>
          <w:szCs w:val="32"/>
        </w:rPr>
        <w:t>万元，</w:t>
      </w:r>
      <w:r>
        <w:rPr>
          <w:rFonts w:hint="eastAsia" w:ascii="仿宋_GB2312" w:eastAsia="仿宋_GB2312"/>
          <w:sz w:val="32"/>
          <w:szCs w:val="32"/>
        </w:rPr>
        <w:t>主要保障机构正常运转及正常履职需要，其中办公费2.04万元、水费0.9</w:t>
      </w:r>
      <w:r>
        <w:rPr>
          <w:rFonts w:hint="eastAsia" w:ascii="仿宋_GB2312" w:eastAsia="仿宋_GB2312"/>
          <w:sz w:val="32"/>
          <w:szCs w:val="32"/>
          <w:lang w:val="en-US" w:eastAsia="zh-CN"/>
        </w:rPr>
        <w:t>0</w:t>
      </w:r>
      <w:r>
        <w:rPr>
          <w:rFonts w:hint="eastAsia" w:ascii="仿宋_GB2312" w:eastAsia="仿宋_GB2312"/>
          <w:sz w:val="32"/>
          <w:szCs w:val="32"/>
        </w:rPr>
        <w:t>万元、电费1.1</w:t>
      </w:r>
      <w:r>
        <w:rPr>
          <w:rFonts w:hint="eastAsia" w:ascii="仿宋_GB2312" w:eastAsia="仿宋_GB2312"/>
          <w:sz w:val="32"/>
          <w:szCs w:val="32"/>
          <w:lang w:val="en-US" w:eastAsia="zh-CN"/>
        </w:rPr>
        <w:t>0</w:t>
      </w:r>
      <w:r>
        <w:rPr>
          <w:rFonts w:hint="eastAsia" w:ascii="仿宋_GB2312" w:eastAsia="仿宋_GB2312"/>
          <w:sz w:val="32"/>
          <w:szCs w:val="32"/>
        </w:rPr>
        <w:t>万元、公务接待费0.3</w:t>
      </w:r>
      <w:r>
        <w:rPr>
          <w:rFonts w:hint="eastAsia" w:ascii="仿宋_GB2312" w:eastAsia="仿宋_GB2312"/>
          <w:sz w:val="32"/>
          <w:szCs w:val="32"/>
          <w:lang w:val="en-US" w:eastAsia="zh-CN"/>
        </w:rPr>
        <w:t>0</w:t>
      </w:r>
      <w:r>
        <w:rPr>
          <w:rFonts w:hint="eastAsia" w:ascii="仿宋_GB2312" w:eastAsia="仿宋_GB2312"/>
          <w:sz w:val="32"/>
          <w:szCs w:val="32"/>
        </w:rPr>
        <w:t>万元、工会经费</w:t>
      </w:r>
      <w:r>
        <w:rPr>
          <w:rFonts w:hint="eastAsia" w:ascii="仿宋_GB2312" w:eastAsia="仿宋_GB2312"/>
          <w:sz w:val="32"/>
          <w:szCs w:val="32"/>
          <w:lang w:val="en-US" w:eastAsia="zh-CN"/>
        </w:rPr>
        <w:t>2.3</w:t>
      </w:r>
      <w:r>
        <w:rPr>
          <w:rFonts w:hint="eastAsia" w:ascii="仿宋_GB2312" w:eastAsia="仿宋_GB2312"/>
          <w:sz w:val="32"/>
          <w:szCs w:val="32"/>
        </w:rPr>
        <w:t>万元、福利费</w:t>
      </w:r>
      <w:r>
        <w:rPr>
          <w:rFonts w:hint="eastAsia" w:ascii="仿宋_GB2312" w:eastAsia="仿宋_GB2312"/>
          <w:sz w:val="32"/>
          <w:szCs w:val="32"/>
          <w:lang w:val="en-US" w:eastAsia="zh-CN"/>
        </w:rPr>
        <w:t>2.7</w:t>
      </w:r>
      <w:r>
        <w:rPr>
          <w:rFonts w:hint="eastAsia" w:ascii="仿宋_GB2312" w:eastAsia="仿宋_GB2312"/>
          <w:sz w:val="32"/>
          <w:szCs w:val="32"/>
        </w:rPr>
        <w:t>万元、公务用车运行维护费1.6</w:t>
      </w:r>
      <w:r>
        <w:rPr>
          <w:rFonts w:hint="eastAsia" w:ascii="仿宋_GB2312" w:eastAsia="仿宋_GB2312"/>
          <w:sz w:val="32"/>
          <w:szCs w:val="32"/>
          <w:lang w:val="en-US" w:eastAsia="zh-CN"/>
        </w:rPr>
        <w:t>0</w:t>
      </w:r>
      <w:r>
        <w:rPr>
          <w:rFonts w:hint="eastAsia" w:ascii="仿宋_GB2312" w:eastAsia="仿宋_GB2312"/>
          <w:sz w:val="32"/>
          <w:szCs w:val="32"/>
        </w:rPr>
        <w:t>万元、公务交通补贴10.8</w:t>
      </w:r>
      <w:r>
        <w:rPr>
          <w:rFonts w:hint="eastAsia" w:ascii="仿宋_GB2312" w:eastAsia="仿宋_GB2312"/>
          <w:sz w:val="32"/>
          <w:szCs w:val="32"/>
          <w:lang w:val="en-US" w:eastAsia="zh-CN"/>
        </w:rPr>
        <w:t>0</w:t>
      </w:r>
      <w:r>
        <w:rPr>
          <w:rFonts w:hint="eastAsia" w:ascii="仿宋_GB2312" w:eastAsia="仿宋_GB2312"/>
          <w:sz w:val="32"/>
          <w:szCs w:val="32"/>
        </w:rPr>
        <w:t>万元、其他交通费用1.2</w:t>
      </w:r>
      <w:r>
        <w:rPr>
          <w:rFonts w:hint="eastAsia" w:ascii="仿宋_GB2312" w:eastAsia="仿宋_GB2312"/>
          <w:sz w:val="32"/>
          <w:szCs w:val="32"/>
          <w:lang w:val="en-US" w:eastAsia="zh-CN"/>
        </w:rPr>
        <w:t>0</w:t>
      </w:r>
      <w:r>
        <w:rPr>
          <w:rFonts w:hint="eastAsia" w:ascii="仿宋_GB2312" w:eastAsia="仿宋_GB2312"/>
          <w:sz w:val="32"/>
          <w:szCs w:val="32"/>
        </w:rPr>
        <w:t>万元。</w:t>
      </w:r>
    </w:p>
    <w:p>
      <w:pPr>
        <w:keepNext w:val="0"/>
        <w:keepLines w:val="0"/>
        <w:pageBreakBefore w:val="0"/>
        <w:kinsoku w:val="0"/>
        <w:wordWrap/>
        <w:overflowPunct w:val="0"/>
        <w:topLinePunct w:val="0"/>
        <w:autoSpaceDE w:val="0"/>
        <w:autoSpaceDN w:val="0"/>
        <w:bidi w:val="0"/>
        <w:adjustRightInd w:val="0"/>
        <w:snapToGrid w:val="0"/>
        <w:spacing w:line="600" w:lineRule="exact"/>
        <w:ind w:firstLine="643" w:firstLineChars="200"/>
        <w:jc w:val="both"/>
        <w:textAlignment w:val="auto"/>
        <w:rPr>
          <w:rFonts w:hint="eastAsia"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（二）政府采购支出情况</w:t>
      </w:r>
    </w:p>
    <w:p>
      <w:pPr>
        <w:keepNext w:val="0"/>
        <w:keepLines w:val="0"/>
        <w:pageBreakBefore w:val="0"/>
        <w:kinsoku w:val="0"/>
        <w:wordWrap/>
        <w:overflowPunct w:val="0"/>
        <w:topLinePunct w:val="0"/>
        <w:autoSpaceDE w:val="0"/>
        <w:autoSpaceDN w:val="0"/>
        <w:bidi w:val="0"/>
        <w:adjustRightInd w:val="0"/>
        <w:snapToGrid w:val="0"/>
        <w:spacing w:line="600" w:lineRule="exact"/>
        <w:ind w:firstLine="640" w:firstLineChars="200"/>
        <w:jc w:val="both"/>
        <w:textAlignment w:val="auto"/>
        <w:rPr>
          <w:rFonts w:hint="eastAsia" w:ascii="楷体_GB2312" w:hAnsi="Times New Roman" w:eastAsia="楷体_GB2312" w:cs="仿宋_GB2312"/>
          <w:b/>
          <w:kern w:val="0"/>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年政府采购预算安排0</w:t>
      </w:r>
      <w:r>
        <w:rPr>
          <w:rFonts w:hint="eastAsia" w:ascii="仿宋_GB2312" w:eastAsia="仿宋_GB2312"/>
          <w:sz w:val="32"/>
          <w:szCs w:val="32"/>
          <w:lang w:val="en-US" w:eastAsia="zh-CN"/>
        </w:rPr>
        <w:t>.00</w:t>
      </w:r>
      <w:r>
        <w:rPr>
          <w:rFonts w:hint="eastAsia" w:ascii="仿宋_GB2312" w:eastAsia="仿宋_GB2312"/>
          <w:sz w:val="32"/>
          <w:szCs w:val="32"/>
        </w:rPr>
        <w:t>万元，其中：政府采购货物预算0</w:t>
      </w:r>
      <w:r>
        <w:rPr>
          <w:rFonts w:hint="eastAsia" w:ascii="仿宋_GB2312" w:eastAsia="仿宋_GB2312"/>
          <w:sz w:val="32"/>
          <w:szCs w:val="32"/>
          <w:lang w:val="en-US" w:eastAsia="zh-CN"/>
        </w:rPr>
        <w:t>.00</w:t>
      </w:r>
      <w:r>
        <w:rPr>
          <w:rFonts w:hint="eastAsia" w:ascii="仿宋_GB2312" w:eastAsia="仿宋_GB2312"/>
          <w:sz w:val="32"/>
          <w:szCs w:val="32"/>
        </w:rPr>
        <w:t>万元、政府采购工程预算0</w:t>
      </w:r>
      <w:r>
        <w:rPr>
          <w:rFonts w:hint="eastAsia" w:ascii="仿宋_GB2312" w:eastAsia="仿宋_GB2312"/>
          <w:sz w:val="32"/>
          <w:szCs w:val="32"/>
          <w:lang w:val="en-US" w:eastAsia="zh-CN"/>
        </w:rPr>
        <w:t>.00</w:t>
      </w:r>
      <w:r>
        <w:rPr>
          <w:rFonts w:hint="eastAsia" w:ascii="仿宋_GB2312" w:eastAsia="仿宋_GB2312"/>
          <w:sz w:val="32"/>
          <w:szCs w:val="32"/>
        </w:rPr>
        <w:t>万元、政府采购服务预算0万元。</w:t>
      </w:r>
    </w:p>
    <w:p>
      <w:pPr>
        <w:keepNext w:val="0"/>
        <w:keepLines w:val="0"/>
        <w:pageBreakBefore w:val="0"/>
        <w:numPr>
          <w:ilvl w:val="0"/>
          <w:numId w:val="1"/>
        </w:numPr>
        <w:kinsoku w:val="0"/>
        <w:wordWrap/>
        <w:overflowPunct w:val="0"/>
        <w:topLinePunct w:val="0"/>
        <w:autoSpaceDE w:val="0"/>
        <w:autoSpaceDN w:val="0"/>
        <w:bidi w:val="0"/>
        <w:adjustRightInd w:val="0"/>
        <w:snapToGrid w:val="0"/>
        <w:spacing w:line="600" w:lineRule="exact"/>
        <w:ind w:firstLine="643" w:firstLineChars="200"/>
        <w:jc w:val="both"/>
        <w:textAlignment w:val="auto"/>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绩效</w:t>
      </w:r>
      <w:r>
        <w:rPr>
          <w:rFonts w:ascii="仿宋_GB2312" w:hAnsi="Times New Roman" w:eastAsia="仿宋_GB2312" w:cs="仿宋_GB2312"/>
          <w:b/>
          <w:kern w:val="0"/>
          <w:sz w:val="32"/>
          <w:szCs w:val="32"/>
        </w:rPr>
        <w:t>目标设置情况</w:t>
      </w:r>
    </w:p>
    <w:p>
      <w:pPr>
        <w:pStyle w:val="15"/>
        <w:keepNext w:val="0"/>
        <w:keepLines w:val="0"/>
        <w:pageBreakBefore w:val="0"/>
        <w:widowControl w:val="0"/>
        <w:kinsoku/>
        <w:wordWrap/>
        <w:overflowPunct/>
        <w:topLinePunct w:val="0"/>
        <w:autoSpaceDE/>
        <w:autoSpaceDN/>
        <w:bidi w:val="0"/>
        <w:adjustRightInd/>
        <w:snapToGrid/>
        <w:textAlignment w:val="auto"/>
        <w:rPr>
          <w:rFonts w:hint="eastAsia"/>
          <w:color w:val="FF0000"/>
        </w:rPr>
      </w:pPr>
      <w:r>
        <w:rPr>
          <w:rFonts w:hint="eastAsia" w:ascii="仿宋_GB2312" w:hAnsi="宋体" w:eastAsia="仿宋_GB2312" w:cs="Courier New"/>
          <w:kern w:val="2"/>
          <w:sz w:val="32"/>
          <w:szCs w:val="32"/>
          <w:lang w:val="en-US" w:eastAsia="zh-CN" w:bidi="ar-SA"/>
        </w:rPr>
        <w:t>我单位2022年预算项目均按要求编制了绩效目标，从项目产出、项目效益、满意度等方面设置了绩效指标，综合反映项目预期完成的数量、实效、质量，预期达到的社会经济效益、可持续影响以及服务对象满意度等情况。我单位相关年度未开展重点绩效项目。</w:t>
      </w:r>
    </w:p>
    <w:p>
      <w:pPr>
        <w:keepNext w:val="0"/>
        <w:keepLines w:val="0"/>
        <w:pageBreakBefore w:val="0"/>
        <w:numPr>
          <w:ilvl w:val="0"/>
          <w:numId w:val="0"/>
        </w:numPr>
        <w:kinsoku w:val="0"/>
        <w:wordWrap/>
        <w:overflowPunct w:val="0"/>
        <w:topLinePunct w:val="0"/>
        <w:autoSpaceDE w:val="0"/>
        <w:autoSpaceDN w:val="0"/>
        <w:bidi w:val="0"/>
        <w:adjustRightInd w:val="0"/>
        <w:snapToGrid w:val="0"/>
        <w:spacing w:line="600" w:lineRule="exact"/>
        <w:jc w:val="both"/>
        <w:textAlignment w:val="auto"/>
        <w:rPr>
          <w:rFonts w:hint="eastAsia" w:ascii="仿宋_GB2312" w:hAnsi="Times New Roman" w:eastAsia="仿宋_GB2312" w:cs="仿宋_GB2312"/>
          <w:b/>
          <w:kern w:val="0"/>
          <w:sz w:val="32"/>
          <w:szCs w:val="32"/>
        </w:rPr>
      </w:pPr>
    </w:p>
    <w:p>
      <w:pPr>
        <w:keepNext w:val="0"/>
        <w:keepLines w:val="0"/>
        <w:pageBreakBefore w:val="0"/>
        <w:kinsoku w:val="0"/>
        <w:wordWrap/>
        <w:overflowPunct w:val="0"/>
        <w:topLinePunct w:val="0"/>
        <w:autoSpaceDE w:val="0"/>
        <w:autoSpaceDN w:val="0"/>
        <w:bidi w:val="0"/>
        <w:adjustRightInd w:val="0"/>
        <w:snapToGrid w:val="0"/>
        <w:spacing w:line="600" w:lineRule="exact"/>
        <w:ind w:firstLine="643" w:firstLineChars="200"/>
        <w:jc w:val="both"/>
        <w:textAlignment w:val="auto"/>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（四）国有资产占用情况。</w:t>
      </w:r>
    </w:p>
    <w:p>
      <w:pPr>
        <w:keepNext w:val="0"/>
        <w:keepLines w:val="0"/>
        <w:pageBreakBefore w:val="0"/>
        <w:kinsoku w:val="0"/>
        <w:wordWrap/>
        <w:overflowPunct w:val="0"/>
        <w:topLinePunct w:val="0"/>
        <w:autoSpaceDE w:val="0"/>
        <w:autoSpaceDN w:val="0"/>
        <w:bidi w:val="0"/>
        <w:adjustRightInd w:val="0"/>
        <w:snapToGrid w:val="0"/>
        <w:spacing w:line="600" w:lineRule="exact"/>
        <w:ind w:firstLine="640" w:firstLineChars="200"/>
        <w:jc w:val="both"/>
        <w:textAlignment w:val="auto"/>
        <w:rPr>
          <w:rFonts w:hint="eastAsia" w:ascii="仿宋_GB2312" w:hAnsi="宋体" w:eastAsia="仿宋_GB2312" w:cs="Courier New"/>
          <w:sz w:val="32"/>
          <w:szCs w:val="32"/>
        </w:rPr>
      </w:pPr>
      <w:r>
        <w:rPr>
          <w:rFonts w:ascii="仿宋_GB2312" w:hAnsi="宋体" w:eastAsia="仿宋_GB2312" w:cs="Courier New"/>
          <w:sz w:val="32"/>
          <w:szCs w:val="32"/>
        </w:rPr>
        <w:t>20</w:t>
      </w:r>
      <w:r>
        <w:rPr>
          <w:rFonts w:hint="eastAsia" w:ascii="仿宋_GB2312" w:hAnsi="宋体" w:eastAsia="仿宋_GB2312" w:cs="Courier New"/>
          <w:sz w:val="32"/>
          <w:szCs w:val="32"/>
        </w:rPr>
        <w:t>21年期末，我局共有车辆</w:t>
      </w:r>
      <w:r>
        <w:rPr>
          <w:rFonts w:hint="eastAsia" w:ascii="仿宋_GB2312" w:eastAsia="仿宋_GB2312"/>
          <w:sz w:val="32"/>
          <w:szCs w:val="32"/>
        </w:rPr>
        <w:t>1</w:t>
      </w:r>
      <w:r>
        <w:rPr>
          <w:rFonts w:hint="eastAsia" w:ascii="仿宋_GB2312" w:hAnsi="宋体" w:eastAsia="仿宋_GB2312" w:cs="Courier New"/>
          <w:sz w:val="32"/>
          <w:szCs w:val="32"/>
        </w:rPr>
        <w:t>辆，其中：一般公务用车</w:t>
      </w:r>
      <w:r>
        <w:rPr>
          <w:rFonts w:hint="eastAsia" w:ascii="仿宋_GB2312" w:eastAsia="仿宋_GB2312"/>
          <w:sz w:val="32"/>
          <w:szCs w:val="32"/>
          <w:lang w:val="en-US" w:eastAsia="zh-CN"/>
        </w:rPr>
        <w:t>0</w:t>
      </w:r>
      <w:r>
        <w:rPr>
          <w:rFonts w:hint="eastAsia" w:ascii="仿宋_GB2312" w:hAnsi="宋体" w:eastAsia="仿宋_GB2312" w:cs="Courier New"/>
          <w:sz w:val="32"/>
          <w:szCs w:val="32"/>
        </w:rPr>
        <w:t>辆、一般执法执勤用车</w:t>
      </w:r>
      <w:r>
        <w:rPr>
          <w:rFonts w:hint="eastAsia" w:ascii="仿宋_GB2312" w:eastAsia="仿宋_GB2312"/>
          <w:sz w:val="32"/>
          <w:szCs w:val="32"/>
          <w:lang w:val="en-US" w:eastAsia="zh-CN"/>
        </w:rPr>
        <w:t>0</w:t>
      </w:r>
      <w:r>
        <w:rPr>
          <w:rFonts w:hint="eastAsia" w:ascii="仿宋_GB2312" w:hAnsi="宋体" w:eastAsia="仿宋_GB2312" w:cs="Courier New"/>
          <w:sz w:val="32"/>
          <w:szCs w:val="32"/>
        </w:rPr>
        <w:t>辆、特种专业技术用车</w:t>
      </w:r>
      <w:r>
        <w:rPr>
          <w:rFonts w:hint="eastAsia" w:ascii="仿宋_GB2312" w:eastAsia="仿宋_GB2312"/>
          <w:sz w:val="32"/>
          <w:szCs w:val="32"/>
        </w:rPr>
        <w:t>0</w:t>
      </w:r>
      <w:r>
        <w:rPr>
          <w:rFonts w:hint="eastAsia" w:ascii="仿宋_GB2312" w:hAnsi="宋体" w:eastAsia="仿宋_GB2312" w:cs="Courier New"/>
          <w:sz w:val="32"/>
          <w:szCs w:val="32"/>
        </w:rPr>
        <w:t>辆，其他用车</w:t>
      </w:r>
      <w:r>
        <w:rPr>
          <w:rFonts w:hint="eastAsia" w:ascii="仿宋_GB2312" w:eastAsia="仿宋_GB2312"/>
          <w:sz w:val="32"/>
          <w:szCs w:val="32"/>
        </w:rPr>
        <w:t>1</w:t>
      </w:r>
      <w:r>
        <w:rPr>
          <w:rFonts w:hint="eastAsia" w:ascii="仿宋_GB2312" w:hAnsi="宋体" w:eastAsia="仿宋_GB2312" w:cs="Courier New"/>
          <w:sz w:val="32"/>
          <w:szCs w:val="32"/>
        </w:rPr>
        <w:t>辆；单价</w:t>
      </w:r>
      <w:r>
        <w:rPr>
          <w:rFonts w:ascii="仿宋_GB2312" w:hAnsi="宋体" w:eastAsia="仿宋_GB2312" w:cs="Courier New"/>
          <w:sz w:val="32"/>
          <w:szCs w:val="32"/>
        </w:rPr>
        <w:t>50</w:t>
      </w:r>
      <w:r>
        <w:rPr>
          <w:rFonts w:hint="eastAsia" w:ascii="仿宋_GB2312" w:hAnsi="宋体" w:eastAsia="仿宋_GB2312" w:cs="Courier New"/>
          <w:sz w:val="32"/>
          <w:szCs w:val="32"/>
        </w:rPr>
        <w:t>万元以上通用设备</w:t>
      </w:r>
      <w:r>
        <w:rPr>
          <w:rFonts w:hint="eastAsia" w:ascii="仿宋_GB2312" w:eastAsia="仿宋_GB2312"/>
          <w:sz w:val="32"/>
          <w:szCs w:val="32"/>
        </w:rPr>
        <w:t>0</w:t>
      </w:r>
      <w:r>
        <w:rPr>
          <w:rFonts w:hint="eastAsia" w:ascii="仿宋_GB2312" w:hAnsi="宋体" w:eastAsia="仿宋_GB2312" w:cs="Courier New"/>
          <w:sz w:val="32"/>
          <w:szCs w:val="32"/>
        </w:rPr>
        <w:t>台，单位价值</w:t>
      </w:r>
      <w:r>
        <w:rPr>
          <w:rFonts w:ascii="仿宋_GB2312" w:hAnsi="宋体" w:eastAsia="仿宋_GB2312" w:cs="Courier New"/>
          <w:sz w:val="32"/>
          <w:szCs w:val="32"/>
        </w:rPr>
        <w:t>100</w:t>
      </w:r>
      <w:r>
        <w:rPr>
          <w:rFonts w:hint="eastAsia" w:ascii="仿宋_GB2312" w:hAnsi="宋体" w:eastAsia="仿宋_GB2312" w:cs="Courier New"/>
          <w:sz w:val="32"/>
          <w:szCs w:val="32"/>
        </w:rPr>
        <w:t>万元以上专用设备</w:t>
      </w:r>
      <w:r>
        <w:rPr>
          <w:rFonts w:hint="eastAsia" w:ascii="仿宋_GB2312" w:eastAsia="仿宋_GB2312"/>
          <w:sz w:val="32"/>
          <w:szCs w:val="32"/>
        </w:rPr>
        <w:t>0</w:t>
      </w:r>
      <w:r>
        <w:rPr>
          <w:rFonts w:hint="eastAsia" w:ascii="仿宋_GB2312" w:hAnsi="宋体" w:eastAsia="仿宋_GB2312" w:cs="Courier New"/>
          <w:sz w:val="32"/>
          <w:szCs w:val="32"/>
        </w:rPr>
        <w:t>套。</w:t>
      </w:r>
    </w:p>
    <w:p>
      <w:pPr>
        <w:keepNext w:val="0"/>
        <w:keepLines w:val="0"/>
        <w:pageBreakBefore w:val="0"/>
        <w:kinsoku w:val="0"/>
        <w:wordWrap/>
        <w:overflowPunct w:val="0"/>
        <w:topLinePunct w:val="0"/>
        <w:autoSpaceDE w:val="0"/>
        <w:autoSpaceDN w:val="0"/>
        <w:bidi w:val="0"/>
        <w:adjustRightInd w:val="0"/>
        <w:snapToGrid w:val="0"/>
        <w:spacing w:line="600" w:lineRule="exact"/>
        <w:ind w:firstLine="643" w:firstLineChars="200"/>
        <w:jc w:val="both"/>
        <w:textAlignment w:val="auto"/>
        <w:rPr>
          <w:rFonts w:hint="eastAsia" w:ascii="仿宋_GB2312" w:hAnsi="宋体" w:eastAsia="仿宋_GB2312" w:cs="Courier New"/>
          <w:b/>
          <w:sz w:val="32"/>
          <w:szCs w:val="32"/>
        </w:rPr>
      </w:pPr>
      <w:r>
        <w:rPr>
          <w:rFonts w:hint="eastAsia" w:ascii="仿宋_GB2312" w:hAnsi="宋体" w:eastAsia="仿宋_GB2312" w:cs="Courier New"/>
          <w:b/>
          <w:sz w:val="32"/>
          <w:szCs w:val="32"/>
        </w:rPr>
        <w:t>（五）专项转移支付项目情况</w:t>
      </w:r>
    </w:p>
    <w:p>
      <w:pPr>
        <w:keepNext w:val="0"/>
        <w:keepLines w:val="0"/>
        <w:pageBreakBefore w:val="0"/>
        <w:kinsoku w:val="0"/>
        <w:wordWrap/>
        <w:overflowPunct w:val="0"/>
        <w:topLinePunct w:val="0"/>
        <w:autoSpaceDE w:val="0"/>
        <w:autoSpaceDN w:val="0"/>
        <w:bidi w:val="0"/>
        <w:adjustRightInd w:val="0"/>
        <w:snapToGrid w:val="0"/>
        <w:spacing w:line="600" w:lineRule="exact"/>
        <w:ind w:firstLine="640" w:firstLineChars="200"/>
        <w:jc w:val="both"/>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rPr>
        <w:t>我局无专项转移支付项目。</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p>
    <w:p>
      <w:pPr>
        <w:adjustRightInd w:val="0"/>
        <w:snapToGrid w:val="0"/>
        <w:spacing w:line="360" w:lineRule="auto"/>
        <w:ind w:firstLine="3504" w:firstLineChars="1095"/>
        <w:rPr>
          <w:rFonts w:hint="eastAsia" w:ascii="黑体" w:hAnsi="黑体" w:eastAsia="黑体"/>
          <w:sz w:val="32"/>
          <w:szCs w:val="32"/>
        </w:rPr>
      </w:pPr>
    </w:p>
    <w:p>
      <w:pPr>
        <w:adjustRightInd w:val="0"/>
        <w:snapToGrid w:val="0"/>
        <w:spacing w:line="360" w:lineRule="auto"/>
        <w:ind w:firstLine="3504" w:firstLineChars="1095"/>
        <w:rPr>
          <w:rFonts w:hint="eastAsia" w:ascii="黑体" w:hAnsi="黑体" w:eastAsia="黑体"/>
          <w:sz w:val="32"/>
          <w:szCs w:val="32"/>
        </w:rPr>
      </w:pPr>
    </w:p>
    <w:p>
      <w:pPr>
        <w:adjustRightInd w:val="0"/>
        <w:snapToGrid w:val="0"/>
        <w:spacing w:line="360" w:lineRule="auto"/>
        <w:ind w:firstLine="3504" w:firstLineChars="1095"/>
        <w:rPr>
          <w:rFonts w:hint="eastAsia" w:ascii="黑体" w:hAnsi="黑体" w:eastAsia="黑体"/>
          <w:sz w:val="32"/>
          <w:szCs w:val="32"/>
        </w:rPr>
      </w:pPr>
    </w:p>
    <w:p>
      <w:pPr>
        <w:adjustRightInd w:val="0"/>
        <w:snapToGrid w:val="0"/>
        <w:spacing w:line="360" w:lineRule="auto"/>
        <w:ind w:firstLine="3504" w:firstLineChars="1095"/>
        <w:rPr>
          <w:rFonts w:hint="eastAsia" w:ascii="黑体" w:hAnsi="黑体" w:eastAsia="黑体"/>
          <w:sz w:val="32"/>
          <w:szCs w:val="32"/>
        </w:rPr>
      </w:pPr>
    </w:p>
    <w:p>
      <w:pPr>
        <w:adjustRightInd w:val="0"/>
        <w:snapToGrid w:val="0"/>
        <w:spacing w:line="360" w:lineRule="auto"/>
        <w:ind w:firstLine="3504" w:firstLineChars="1095"/>
        <w:rPr>
          <w:rFonts w:hint="eastAsia" w:ascii="黑体" w:hAnsi="黑体" w:eastAsia="黑体"/>
          <w:sz w:val="32"/>
          <w:szCs w:val="32"/>
        </w:rPr>
      </w:pPr>
    </w:p>
    <w:p>
      <w:pPr>
        <w:adjustRightInd w:val="0"/>
        <w:snapToGrid w:val="0"/>
        <w:spacing w:line="360" w:lineRule="auto"/>
        <w:ind w:firstLine="3504" w:firstLineChars="1095"/>
        <w:rPr>
          <w:rFonts w:hint="eastAsia" w:ascii="黑体" w:hAnsi="黑体" w:eastAsia="黑体"/>
          <w:sz w:val="32"/>
          <w:szCs w:val="32"/>
        </w:rPr>
      </w:pPr>
    </w:p>
    <w:p>
      <w:pPr>
        <w:adjustRightInd w:val="0"/>
        <w:snapToGrid w:val="0"/>
        <w:spacing w:line="360" w:lineRule="auto"/>
        <w:ind w:firstLine="3504" w:firstLineChars="1095"/>
        <w:rPr>
          <w:rFonts w:hint="eastAsia" w:ascii="黑体" w:hAnsi="黑体" w:eastAsia="黑体"/>
          <w:sz w:val="32"/>
          <w:szCs w:val="32"/>
        </w:rPr>
      </w:pPr>
    </w:p>
    <w:p>
      <w:pPr>
        <w:adjustRightInd w:val="0"/>
        <w:snapToGrid w:val="0"/>
        <w:spacing w:line="360" w:lineRule="auto"/>
        <w:ind w:firstLine="3504" w:firstLineChars="1095"/>
        <w:rPr>
          <w:rFonts w:hint="eastAsia" w:ascii="黑体" w:hAnsi="黑体" w:eastAsia="黑体"/>
          <w:sz w:val="32"/>
          <w:szCs w:val="32"/>
        </w:rPr>
      </w:pPr>
    </w:p>
    <w:p>
      <w:pPr>
        <w:adjustRightInd w:val="0"/>
        <w:snapToGrid w:val="0"/>
        <w:spacing w:line="360" w:lineRule="auto"/>
        <w:ind w:firstLine="3504" w:firstLineChars="1095"/>
        <w:rPr>
          <w:rFonts w:hint="eastAsia" w:ascii="黑体" w:hAnsi="黑体" w:eastAsia="黑体"/>
          <w:sz w:val="32"/>
          <w:szCs w:val="32"/>
        </w:rPr>
      </w:pPr>
    </w:p>
    <w:p>
      <w:pPr>
        <w:adjustRightInd w:val="0"/>
        <w:snapToGrid w:val="0"/>
        <w:spacing w:line="360" w:lineRule="auto"/>
        <w:ind w:firstLine="3504" w:firstLineChars="1095"/>
        <w:rPr>
          <w:rFonts w:hint="eastAsia" w:ascii="黑体" w:hAnsi="黑体" w:eastAsia="黑体"/>
          <w:sz w:val="32"/>
          <w:szCs w:val="32"/>
        </w:rPr>
      </w:pPr>
    </w:p>
    <w:p>
      <w:pPr>
        <w:adjustRightInd w:val="0"/>
        <w:snapToGrid w:val="0"/>
        <w:spacing w:line="360" w:lineRule="auto"/>
        <w:ind w:firstLine="3504" w:firstLineChars="1095"/>
        <w:rPr>
          <w:rFonts w:hint="eastAsia" w:ascii="黑体" w:hAnsi="黑体" w:eastAsia="黑体"/>
          <w:sz w:val="32"/>
          <w:szCs w:val="32"/>
        </w:rPr>
      </w:pPr>
    </w:p>
    <w:p>
      <w:pPr>
        <w:adjustRightInd w:val="0"/>
        <w:snapToGrid w:val="0"/>
        <w:spacing w:line="360" w:lineRule="auto"/>
        <w:ind w:firstLine="3504" w:firstLineChars="1095"/>
        <w:rPr>
          <w:rFonts w:hint="eastAsia" w:ascii="黑体" w:hAnsi="黑体" w:eastAsia="黑体"/>
          <w:sz w:val="32"/>
          <w:szCs w:val="32"/>
        </w:rPr>
      </w:pPr>
    </w:p>
    <w:p>
      <w:pPr>
        <w:adjustRightInd w:val="0"/>
        <w:snapToGrid w:val="0"/>
        <w:spacing w:line="360" w:lineRule="auto"/>
        <w:ind w:firstLine="3504" w:firstLineChars="1095"/>
        <w:rPr>
          <w:rFonts w:hint="eastAsia" w:ascii="黑体" w:hAnsi="黑体" w:eastAsia="黑体"/>
          <w:sz w:val="32"/>
          <w:szCs w:val="32"/>
        </w:rPr>
      </w:pPr>
    </w:p>
    <w:p>
      <w:pPr>
        <w:adjustRightInd w:val="0"/>
        <w:snapToGrid w:val="0"/>
        <w:spacing w:line="360" w:lineRule="auto"/>
        <w:ind w:firstLine="3504" w:firstLineChars="1095"/>
        <w:rPr>
          <w:rFonts w:hint="eastAsia" w:ascii="黑体" w:hAnsi="黑体" w:eastAsia="黑体"/>
          <w:sz w:val="32"/>
          <w:szCs w:val="32"/>
        </w:rPr>
      </w:pPr>
    </w:p>
    <w:p>
      <w:pPr>
        <w:adjustRightInd w:val="0"/>
        <w:snapToGrid w:val="0"/>
        <w:spacing w:line="360" w:lineRule="auto"/>
        <w:rPr>
          <w:rFonts w:hint="eastAsia" w:ascii="黑体" w:hAnsi="黑体" w:eastAsia="黑体"/>
          <w:sz w:val="32"/>
          <w:szCs w:val="32"/>
        </w:rPr>
      </w:pPr>
    </w:p>
    <w:p>
      <w:pPr>
        <w:adjustRightInd w:val="0"/>
        <w:snapToGrid w:val="0"/>
        <w:spacing w:line="360" w:lineRule="auto"/>
        <w:ind w:firstLine="3504" w:firstLineChars="1095"/>
        <w:rPr>
          <w:rFonts w:hint="eastAsia" w:ascii="黑体" w:hAnsi="黑体" w:eastAsia="黑体"/>
          <w:sz w:val="32"/>
          <w:szCs w:val="32"/>
        </w:rPr>
      </w:pPr>
    </w:p>
    <w:p>
      <w:pPr>
        <w:keepNext w:val="0"/>
        <w:keepLines w:val="0"/>
        <w:pageBreakBefore w:val="0"/>
        <w:widowControl w:val="0"/>
        <w:wordWrap/>
        <w:topLinePunct w:val="0"/>
        <w:bidi w:val="0"/>
        <w:adjustRightInd w:val="0"/>
        <w:snapToGrid w:val="0"/>
        <w:spacing w:line="600" w:lineRule="exact"/>
        <w:jc w:val="center"/>
        <w:textAlignment w:val="auto"/>
        <w:rPr>
          <w:rFonts w:hint="eastAsia" w:ascii="黑体" w:hAnsi="黑体" w:eastAsia="黑体"/>
          <w:sz w:val="44"/>
          <w:szCs w:val="44"/>
        </w:rPr>
      </w:pPr>
    </w:p>
    <w:p>
      <w:pPr>
        <w:keepNext w:val="0"/>
        <w:keepLines w:val="0"/>
        <w:pageBreakBefore w:val="0"/>
        <w:widowControl w:val="0"/>
        <w:wordWrap/>
        <w:topLinePunct w:val="0"/>
        <w:bidi w:val="0"/>
        <w:adjustRightInd w:val="0"/>
        <w:snapToGrid w:val="0"/>
        <w:spacing w:line="600" w:lineRule="exact"/>
        <w:jc w:val="center"/>
        <w:textAlignment w:val="auto"/>
        <w:rPr>
          <w:rFonts w:hint="eastAsia" w:ascii="黑体" w:hAnsi="黑体" w:eastAsia="黑体"/>
          <w:sz w:val="44"/>
          <w:szCs w:val="44"/>
        </w:rPr>
      </w:pPr>
    </w:p>
    <w:p>
      <w:pPr>
        <w:keepNext w:val="0"/>
        <w:keepLines w:val="0"/>
        <w:pageBreakBefore w:val="0"/>
        <w:widowControl w:val="0"/>
        <w:wordWrap/>
        <w:topLinePunct w:val="0"/>
        <w:bidi w:val="0"/>
        <w:adjustRightInd w:val="0"/>
        <w:snapToGrid w:val="0"/>
        <w:spacing w:line="600" w:lineRule="exact"/>
        <w:jc w:val="center"/>
        <w:textAlignment w:val="auto"/>
        <w:rPr>
          <w:rFonts w:hint="eastAsia" w:ascii="黑体" w:hAnsi="黑体" w:eastAsia="黑体"/>
          <w:sz w:val="44"/>
          <w:szCs w:val="44"/>
        </w:rPr>
      </w:pPr>
      <w:r>
        <w:rPr>
          <w:rFonts w:hint="eastAsia" w:ascii="黑体" w:hAnsi="黑体" w:eastAsia="黑体"/>
          <w:sz w:val="44"/>
          <w:szCs w:val="44"/>
        </w:rPr>
        <w:t>第三部分</w:t>
      </w:r>
    </w:p>
    <w:p>
      <w:pPr>
        <w:keepNext w:val="0"/>
        <w:keepLines w:val="0"/>
        <w:pageBreakBefore w:val="0"/>
        <w:widowControl w:val="0"/>
        <w:wordWrap/>
        <w:topLinePunct w:val="0"/>
        <w:bidi w:val="0"/>
        <w:adjustRightInd w:val="0"/>
        <w:snapToGrid w:val="0"/>
        <w:spacing w:line="600" w:lineRule="exact"/>
        <w:jc w:val="center"/>
        <w:textAlignment w:val="auto"/>
        <w:rPr>
          <w:rFonts w:hint="eastAsia" w:ascii="黑体" w:hAnsi="黑体" w:eastAsia="黑体"/>
          <w:sz w:val="44"/>
          <w:szCs w:val="44"/>
        </w:rPr>
      </w:pPr>
      <w:r>
        <w:rPr>
          <w:rFonts w:hint="eastAsia" w:ascii="黑体" w:hAnsi="黑体" w:eastAsia="黑体"/>
          <w:sz w:val="44"/>
          <w:szCs w:val="44"/>
        </w:rPr>
        <w:t>名词解释</w:t>
      </w:r>
    </w:p>
    <w:p>
      <w:pPr>
        <w:keepNext w:val="0"/>
        <w:keepLines w:val="0"/>
        <w:pageBreakBefore w:val="0"/>
        <w:widowControl w:val="0"/>
        <w:wordWrap/>
        <w:topLinePunct w:val="0"/>
        <w:bidi w:val="0"/>
        <w:adjustRightInd w:val="0"/>
        <w:snapToGrid w:val="0"/>
        <w:spacing w:line="600" w:lineRule="exact"/>
        <w:ind w:firstLine="3504" w:firstLineChars="1095"/>
        <w:textAlignment w:val="auto"/>
        <w:rPr>
          <w:rFonts w:hint="eastAsia" w:ascii="黑体" w:hAnsi="黑体" w:eastAsia="黑体"/>
          <w:sz w:val="32"/>
          <w:szCs w:val="32"/>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ascii="仿宋_GB2312" w:hAnsi="宋体" w:eastAsia="仿宋_GB2312" w:cs="Courier New"/>
          <w:sz w:val="32"/>
          <w:szCs w:val="32"/>
        </w:rPr>
      </w:pPr>
      <w:r>
        <w:rPr>
          <w:rFonts w:hint="eastAsia" w:ascii="仿宋_GB2312" w:hAnsi="宋体" w:eastAsia="仿宋_GB2312" w:cs="Courier New"/>
          <w:sz w:val="32"/>
          <w:szCs w:val="32"/>
        </w:rPr>
        <w:t>一、财政拨款收入：是指省级财政当年拨付的资金。</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 得的收入。</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ascii="仿宋_GB2312" w:hAnsi="宋体" w:eastAsia="仿宋_GB2312" w:cs="Courier New"/>
          <w:sz w:val="32"/>
          <w:szCs w:val="32"/>
        </w:rPr>
      </w:pPr>
      <w:r>
        <w:rPr>
          <w:rFonts w:hint="eastAsia" w:ascii="仿宋_GB2312" w:hAnsi="宋体" w:eastAsia="仿宋_GB2312" w:cs="Courier New"/>
          <w:sz w:val="32"/>
          <w:szCs w:val="32"/>
        </w:rPr>
        <w:t xml:space="preserve">三、其他收入：是指部门取得的除“财政拨款”、“事业收入”、“事业单位经营收入”等以外的收入。 </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360" w:lineRule="auto"/>
        <w:rPr>
          <w:rFonts w:hint="eastAsia" w:ascii="黑体" w:hAnsi="黑体" w:eastAsia="黑体"/>
          <w:sz w:val="32"/>
          <w:szCs w:val="32"/>
        </w:rPr>
      </w:pPr>
    </w:p>
    <w:p>
      <w:pPr>
        <w:adjustRightInd w:val="0"/>
        <w:snapToGrid w:val="0"/>
        <w:spacing w:line="360" w:lineRule="auto"/>
        <w:rPr>
          <w:rFonts w:hint="eastAsia" w:ascii="黑体" w:hAnsi="黑体" w:eastAsia="黑体"/>
          <w:sz w:val="32"/>
          <w:szCs w:val="32"/>
        </w:rPr>
      </w:pPr>
    </w:p>
    <w:p>
      <w:pPr>
        <w:adjustRightInd w:val="0"/>
        <w:snapToGrid w:val="0"/>
        <w:spacing w:line="360" w:lineRule="auto"/>
        <w:rPr>
          <w:rFonts w:hint="eastAsia" w:ascii="黑体" w:hAnsi="黑体" w:eastAsia="黑体"/>
          <w:sz w:val="32"/>
          <w:szCs w:val="32"/>
        </w:rPr>
      </w:pPr>
    </w:p>
    <w:p>
      <w:pPr>
        <w:adjustRightInd w:val="0"/>
        <w:snapToGrid w:val="0"/>
        <w:spacing w:line="360" w:lineRule="auto"/>
        <w:rPr>
          <w:rFonts w:hint="eastAsia" w:ascii="黑体" w:hAnsi="黑体" w:eastAsia="黑体"/>
          <w:sz w:val="32"/>
          <w:szCs w:val="32"/>
        </w:rPr>
      </w:pPr>
    </w:p>
    <w:p>
      <w:pPr>
        <w:adjustRightInd w:val="0"/>
        <w:snapToGrid w:val="0"/>
        <w:spacing w:line="360" w:lineRule="auto"/>
        <w:rPr>
          <w:rFonts w:hint="eastAsia" w:ascii="黑体" w:hAnsi="黑体" w:eastAsia="黑体"/>
          <w:sz w:val="32"/>
          <w:szCs w:val="32"/>
        </w:rPr>
      </w:pPr>
    </w:p>
    <w:p>
      <w:pPr>
        <w:adjustRightInd w:val="0"/>
        <w:snapToGrid w:val="0"/>
        <w:spacing w:line="360" w:lineRule="auto"/>
        <w:rPr>
          <w:rFonts w:hint="eastAsia" w:ascii="黑体" w:hAnsi="黑体" w:eastAsia="黑体"/>
          <w:sz w:val="32"/>
          <w:szCs w:val="32"/>
        </w:rPr>
      </w:pPr>
    </w:p>
    <w:p>
      <w:pPr>
        <w:adjustRightInd w:val="0"/>
        <w:snapToGrid w:val="0"/>
        <w:spacing w:line="360" w:lineRule="auto"/>
        <w:rPr>
          <w:rFonts w:hint="eastAsia" w:ascii="黑体" w:hAnsi="黑体" w:eastAsia="黑体"/>
          <w:sz w:val="32"/>
          <w:szCs w:val="32"/>
        </w:rPr>
      </w:pPr>
    </w:p>
    <w:p>
      <w:pPr>
        <w:adjustRightInd w:val="0"/>
        <w:snapToGrid w:val="0"/>
        <w:spacing w:line="360" w:lineRule="auto"/>
        <w:rPr>
          <w:rFonts w:hint="eastAsia" w:ascii="黑体" w:hAnsi="黑体" w:eastAsia="黑体"/>
          <w:sz w:val="32"/>
          <w:szCs w:val="32"/>
        </w:rPr>
      </w:pPr>
    </w:p>
    <w:p>
      <w:pPr>
        <w:adjustRightInd w:val="0"/>
        <w:snapToGrid w:val="0"/>
        <w:spacing w:line="360" w:lineRule="auto"/>
        <w:rPr>
          <w:rFonts w:hint="eastAsia" w:ascii="黑体" w:hAnsi="黑体" w:eastAsia="黑体"/>
          <w:sz w:val="32"/>
          <w:szCs w:val="32"/>
        </w:rPr>
      </w:pPr>
    </w:p>
    <w:p>
      <w:pPr>
        <w:adjustRightInd w:val="0"/>
        <w:snapToGrid w:val="0"/>
        <w:spacing w:line="360" w:lineRule="auto"/>
        <w:rPr>
          <w:rFonts w:hint="eastAsia" w:ascii="黑体" w:hAnsi="黑体" w:eastAsia="黑体"/>
          <w:sz w:val="32"/>
          <w:szCs w:val="32"/>
        </w:rPr>
      </w:pPr>
    </w:p>
    <w:p>
      <w:pPr>
        <w:adjustRightInd w:val="0"/>
        <w:snapToGrid w:val="0"/>
        <w:spacing w:line="360" w:lineRule="auto"/>
        <w:rPr>
          <w:rFonts w:hint="eastAsia" w:ascii="黑体" w:hAnsi="黑体" w:eastAsia="黑体"/>
          <w:sz w:val="32"/>
          <w:szCs w:val="32"/>
        </w:rPr>
      </w:pPr>
    </w:p>
    <w:p>
      <w:pPr>
        <w:adjustRightInd w:val="0"/>
        <w:snapToGrid w:val="0"/>
        <w:spacing w:line="360" w:lineRule="auto"/>
        <w:rPr>
          <w:rFonts w:hint="eastAsia" w:ascii="黑体" w:hAnsi="黑体" w:eastAsia="黑体"/>
          <w:sz w:val="32"/>
          <w:szCs w:val="32"/>
        </w:rPr>
      </w:pPr>
    </w:p>
    <w:p>
      <w:pPr>
        <w:adjustRightInd w:val="0"/>
        <w:snapToGrid w:val="0"/>
        <w:spacing w:line="360" w:lineRule="auto"/>
        <w:rPr>
          <w:rFonts w:hint="eastAsia" w:ascii="黑体" w:hAnsi="黑体" w:eastAsia="黑体"/>
          <w:sz w:val="32"/>
          <w:szCs w:val="32"/>
        </w:rPr>
      </w:pPr>
    </w:p>
    <w:p>
      <w:pPr>
        <w:adjustRightInd w:val="0"/>
        <w:snapToGrid w:val="0"/>
        <w:spacing w:line="360" w:lineRule="auto"/>
        <w:rPr>
          <w:rFonts w:hint="eastAsia" w:ascii="黑体" w:hAnsi="黑体" w:eastAsia="黑体"/>
          <w:sz w:val="32"/>
          <w:szCs w:val="32"/>
        </w:rPr>
      </w:pPr>
    </w:p>
    <w:p>
      <w:pPr>
        <w:adjustRightInd w:val="0"/>
        <w:snapToGrid w:val="0"/>
        <w:spacing w:line="360" w:lineRule="auto"/>
        <w:rPr>
          <w:rFonts w:hint="eastAsia" w:ascii="黑体" w:hAnsi="黑体" w:eastAsia="黑体"/>
          <w:sz w:val="32"/>
          <w:szCs w:val="32"/>
        </w:rPr>
      </w:pPr>
    </w:p>
    <w:p>
      <w:pPr>
        <w:adjustRightInd w:val="0"/>
        <w:snapToGrid w:val="0"/>
        <w:spacing w:line="360" w:lineRule="auto"/>
        <w:rPr>
          <w:rFonts w:hint="eastAsia" w:ascii="黑体" w:hAnsi="黑体" w:eastAsia="黑体"/>
          <w:sz w:val="32"/>
          <w:szCs w:val="32"/>
        </w:rPr>
      </w:pPr>
    </w:p>
    <w:p>
      <w:pPr>
        <w:adjustRightInd w:val="0"/>
        <w:snapToGrid w:val="0"/>
        <w:spacing w:line="360" w:lineRule="auto"/>
        <w:rPr>
          <w:rFonts w:hint="eastAsia" w:ascii="黑体" w:hAnsi="黑体" w:eastAsia="黑体"/>
          <w:sz w:val="32"/>
          <w:szCs w:val="32"/>
        </w:rPr>
      </w:pPr>
    </w:p>
    <w:p>
      <w:pPr>
        <w:adjustRightInd w:val="0"/>
        <w:snapToGrid w:val="0"/>
        <w:spacing w:line="360" w:lineRule="auto"/>
        <w:rPr>
          <w:rFonts w:hint="eastAsia" w:ascii="黑体" w:hAnsi="黑体" w:eastAsia="黑体"/>
          <w:sz w:val="32"/>
          <w:szCs w:val="32"/>
        </w:rPr>
      </w:pPr>
    </w:p>
    <w:p>
      <w:pPr>
        <w:adjustRightInd w:val="0"/>
        <w:snapToGrid w:val="0"/>
        <w:spacing w:line="360" w:lineRule="auto"/>
        <w:rPr>
          <w:rFonts w:ascii="黑体" w:hAnsi="黑体" w:eastAsia="黑体"/>
          <w:sz w:val="32"/>
          <w:szCs w:val="32"/>
        </w:rPr>
      </w:pPr>
      <w:r>
        <w:rPr>
          <w:rFonts w:hint="eastAsia" w:ascii="黑体" w:hAnsi="黑体" w:eastAsia="黑体"/>
          <w:sz w:val="32"/>
          <w:szCs w:val="32"/>
        </w:rPr>
        <w:t>附件：</w:t>
      </w:r>
    </w:p>
    <w:p>
      <w:pPr>
        <w:adjustRightInd w:val="0"/>
        <w:snapToGrid w:val="0"/>
        <w:spacing w:line="360" w:lineRule="auto"/>
        <w:jc w:val="center"/>
        <w:rPr>
          <w:rFonts w:hint="eastAsia" w:ascii="黑体" w:hAnsi="黑体" w:eastAsia="黑体"/>
          <w:sz w:val="32"/>
          <w:szCs w:val="32"/>
        </w:rPr>
      </w:pPr>
      <w:r>
        <w:rPr>
          <w:rFonts w:hint="eastAsia" w:ascii="黑体" w:hAnsi="黑体" w:eastAsia="黑体"/>
          <w:sz w:val="32"/>
          <w:szCs w:val="32"/>
        </w:rPr>
        <w:t>唐河县交通运输局2022年</w:t>
      </w:r>
      <w:r>
        <w:rPr>
          <w:rFonts w:hint="eastAsia" w:ascii="黑体" w:hAnsi="黑体" w:eastAsia="黑体"/>
          <w:sz w:val="32"/>
          <w:szCs w:val="32"/>
          <w:lang w:val="en-US" w:eastAsia="zh-CN"/>
        </w:rPr>
        <w:t>本级</w:t>
      </w:r>
      <w:bookmarkStart w:id="5" w:name="_GoBack"/>
      <w:bookmarkEnd w:id="5"/>
      <w:r>
        <w:rPr>
          <w:rFonts w:hint="eastAsia" w:ascii="黑体" w:hAnsi="黑体" w:eastAsia="黑体"/>
          <w:sz w:val="32"/>
          <w:szCs w:val="32"/>
        </w:rPr>
        <w:t>预算表</w:t>
      </w: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tbl>
      <w:tblPr>
        <w:tblStyle w:val="5"/>
        <w:tblpPr w:leftFromText="180" w:rightFromText="180" w:vertAnchor="text" w:horzAnchor="page" w:tblpX="1676" w:tblpY="-436"/>
        <w:tblOverlap w:val="never"/>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68"/>
        <w:gridCol w:w="1440"/>
        <w:gridCol w:w="2856"/>
        <w:gridCol w:w="1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180" w:type="dxa"/>
            <w:gridSpan w:val="4"/>
            <w:tcBorders>
              <w:top w:val="nil"/>
              <w:left w:val="nil"/>
              <w:bottom w:val="nil"/>
              <w:right w:val="nil"/>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180" w:type="dxa"/>
            <w:gridSpan w:val="4"/>
            <w:tcBorders>
              <w:top w:val="nil"/>
              <w:left w:val="nil"/>
              <w:bottom w:val="nil"/>
              <w:right w:val="nil"/>
            </w:tcBorders>
            <w:noWrap w:val="0"/>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hint="eastAsia" w:ascii="宋体" w:hAnsi="宋体" w:eastAsia="宋体" w:cs="宋体"/>
                <w:b/>
                <w:bCs/>
                <w:color w:val="000000"/>
                <w:kern w:val="0"/>
                <w:sz w:val="44"/>
                <w:szCs w:val="44"/>
                <w:lang w:val="en-US" w:eastAsia="zh-CN" w:bidi="ar"/>
              </w:rPr>
              <w:t>部门收支总体情况表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nil"/>
              <w:left w:val="nil"/>
              <w:bottom w:val="nil"/>
              <w:right w:val="nil"/>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部门/单位：唐河县交通局</w:t>
            </w:r>
          </w:p>
        </w:tc>
        <w:tc>
          <w:tcPr>
            <w:tcW w:w="1440" w:type="dxa"/>
            <w:tcBorders>
              <w:top w:val="nil"/>
              <w:left w:val="nil"/>
              <w:bottom w:val="nil"/>
              <w:right w:val="nil"/>
            </w:tcBorders>
            <w:noWrap w:val="0"/>
            <w:vAlign w:val="center"/>
          </w:tcPr>
          <w:p>
            <w:pPr>
              <w:rPr>
                <w:rFonts w:hint="eastAsia" w:ascii="宋体" w:hAnsi="宋体" w:eastAsia="宋体" w:cs="宋体"/>
                <w:i w:val="0"/>
                <w:iCs w:val="0"/>
                <w:color w:val="000000"/>
                <w:sz w:val="18"/>
                <w:szCs w:val="18"/>
                <w:u w:val="none"/>
              </w:rPr>
            </w:pPr>
          </w:p>
        </w:tc>
        <w:tc>
          <w:tcPr>
            <w:tcW w:w="2856" w:type="dxa"/>
            <w:tcBorders>
              <w:top w:val="nil"/>
              <w:left w:val="nil"/>
              <w:bottom w:val="nil"/>
              <w:right w:val="nil"/>
            </w:tcBorders>
            <w:noWrap w:val="0"/>
            <w:vAlign w:val="center"/>
          </w:tcPr>
          <w:p>
            <w:pPr>
              <w:rPr>
                <w:rFonts w:hint="eastAsia" w:ascii="宋体" w:hAnsi="宋体" w:eastAsia="宋体" w:cs="宋体"/>
                <w:i w:val="0"/>
                <w:iCs w:val="0"/>
                <w:color w:val="000000"/>
                <w:sz w:val="18"/>
                <w:szCs w:val="18"/>
                <w:u w:val="none"/>
              </w:rPr>
            </w:pPr>
          </w:p>
        </w:tc>
        <w:tc>
          <w:tcPr>
            <w:tcW w:w="1716" w:type="dxa"/>
            <w:tcBorders>
              <w:top w:val="nil"/>
              <w:left w:val="nil"/>
              <w:bottom w:val="nil"/>
              <w:right w:val="nil"/>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60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      入</w:t>
            </w:r>
          </w:p>
        </w:tc>
        <w:tc>
          <w:tcPr>
            <w:tcW w:w="45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    目</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预算数</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    目</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一、一般公共预算拨款收入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272.89</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一、一般公共服务</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二、政府性基金预算拨款收入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二、外交</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三、国有资本经营预算拨款收入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三、国防</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四、财政专户管理资金收入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四、公共安全</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五、事业收入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五、教育</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六、事业单位经营收入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六、科学技术</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七、上级补助收入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七、文化旅游体育与传媒</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八、附属单位上缴收入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八、社会保障和就业</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九、其他收入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九、社会保险基金支出</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十、卫生健康</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十一、节能环保</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十二、城乡社区事务</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十三、农林水事务</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十四、交通运输</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十五、资源勘探信息等</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十六、商业服务业等</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十七、金融支出</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十九、援助其他地区支出</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二十、自然资源海洋气象等支出</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二十一、住房保障支出</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二十二、粮油物资储备支出</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二十三、国有资本经营预算</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二十四、灾害防治及应急管理</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二十七、预备费</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二十九、其他支出</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三十、转移性支出</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三十一、债务还本支出</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三十二、债务付息支出</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三十三、债务发行费用支出</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18"/>
                <w:szCs w:val="18"/>
                <w:u w:val="none"/>
              </w:rPr>
            </w:pP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三十四、抗疫特别国债安排的支出</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本年收入合计</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272.89</w:t>
            </w:r>
            <w:r>
              <w:rPr>
                <w:rFonts w:ascii="宋体" w:hAnsi="宋体" w:eastAsia="宋体" w:cs="宋体"/>
                <w:i w:val="0"/>
                <w:iCs w:val="0"/>
                <w:color w:val="000000"/>
                <w:kern w:val="0"/>
                <w:sz w:val="18"/>
                <w:szCs w:val="18"/>
                <w:u w:val="none"/>
                <w:lang w:val="en-US" w:eastAsia="zh-CN" w:bidi="ar"/>
              </w:rPr>
              <w:t xml:space="preserve"> </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 年 支 出 合 计</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272.89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上年结转结余</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0.00 </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年终结转结余</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收    入    总    计</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272.89</w:t>
            </w:r>
            <w:r>
              <w:rPr>
                <w:rFonts w:ascii="宋体" w:hAnsi="宋体" w:eastAsia="宋体" w:cs="宋体"/>
                <w:i w:val="0"/>
                <w:iCs w:val="0"/>
                <w:color w:val="000000"/>
                <w:kern w:val="0"/>
                <w:sz w:val="18"/>
                <w:szCs w:val="18"/>
                <w:u w:val="none"/>
                <w:lang w:val="en-US" w:eastAsia="zh-CN" w:bidi="ar"/>
              </w:rPr>
              <w:t xml:space="preserve"> </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 出 合 计</w:t>
            </w:r>
          </w:p>
        </w:tc>
        <w:tc>
          <w:tcPr>
            <w:tcW w:w="1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272.89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68" w:type="dxa"/>
            <w:tcBorders>
              <w:top w:val="nil"/>
              <w:left w:val="nil"/>
              <w:bottom w:val="nil"/>
              <w:right w:val="nil"/>
            </w:tcBorders>
            <w:noWrap w:val="0"/>
            <w:vAlign w:val="center"/>
          </w:tcPr>
          <w:p>
            <w:pPr>
              <w:rPr>
                <w:rFonts w:hint="eastAsia" w:ascii="宋体" w:hAnsi="宋体" w:eastAsia="宋体" w:cs="宋体"/>
                <w:i w:val="0"/>
                <w:iCs w:val="0"/>
                <w:color w:val="000000"/>
                <w:sz w:val="18"/>
                <w:szCs w:val="18"/>
                <w:u w:val="none"/>
              </w:rPr>
            </w:pPr>
          </w:p>
        </w:tc>
        <w:tc>
          <w:tcPr>
            <w:tcW w:w="1440" w:type="dxa"/>
            <w:tcBorders>
              <w:top w:val="nil"/>
              <w:left w:val="nil"/>
              <w:bottom w:val="nil"/>
              <w:right w:val="nil"/>
            </w:tcBorders>
            <w:noWrap w:val="0"/>
            <w:vAlign w:val="center"/>
          </w:tcPr>
          <w:p>
            <w:pPr>
              <w:rPr>
                <w:rFonts w:hint="eastAsia" w:ascii="宋体" w:hAnsi="宋体" w:eastAsia="宋体" w:cs="宋体"/>
                <w:i w:val="0"/>
                <w:iCs w:val="0"/>
                <w:color w:val="000000"/>
                <w:sz w:val="18"/>
                <w:szCs w:val="18"/>
                <w:u w:val="none"/>
              </w:rPr>
            </w:pPr>
          </w:p>
        </w:tc>
        <w:tc>
          <w:tcPr>
            <w:tcW w:w="2856" w:type="dxa"/>
            <w:tcBorders>
              <w:top w:val="nil"/>
              <w:left w:val="nil"/>
              <w:bottom w:val="nil"/>
              <w:right w:val="nil"/>
            </w:tcBorders>
            <w:noWrap w:val="0"/>
            <w:vAlign w:val="center"/>
          </w:tcPr>
          <w:p>
            <w:pPr>
              <w:rPr>
                <w:rFonts w:hint="eastAsia" w:ascii="宋体" w:hAnsi="宋体" w:eastAsia="宋体" w:cs="宋体"/>
                <w:i w:val="0"/>
                <w:iCs w:val="0"/>
                <w:color w:val="000000"/>
                <w:sz w:val="18"/>
                <w:szCs w:val="18"/>
                <w:u w:val="none"/>
              </w:rPr>
            </w:pPr>
          </w:p>
        </w:tc>
        <w:tc>
          <w:tcPr>
            <w:tcW w:w="1716" w:type="dxa"/>
            <w:tcBorders>
              <w:top w:val="nil"/>
              <w:left w:val="nil"/>
              <w:bottom w:val="nil"/>
              <w:right w:val="nil"/>
            </w:tcBorders>
            <w:noWrap w:val="0"/>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180"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备注：财政专户管理资金收入是指教育收费收入；事业收入不含教育收费收入，下同。</w:t>
            </w:r>
          </w:p>
        </w:tc>
      </w:tr>
    </w:tbl>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sectPr>
          <w:footerReference r:id="rId3" w:type="default"/>
          <w:footerReference r:id="rId4" w:type="even"/>
          <w:pgSz w:w="11906" w:h="16838"/>
          <w:pgMar w:top="1440" w:right="1474" w:bottom="1440" w:left="1587" w:header="851" w:footer="992" w:gutter="0"/>
          <w:cols w:space="720" w:num="1"/>
          <w:docGrid w:type="lines" w:linePitch="312" w:charSpace="0"/>
        </w:sectPr>
      </w:pPr>
    </w:p>
    <w:tbl>
      <w:tblPr>
        <w:tblStyle w:val="5"/>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8"/>
        <w:gridCol w:w="781"/>
        <w:gridCol w:w="756"/>
        <w:gridCol w:w="756"/>
        <w:gridCol w:w="1006"/>
        <w:gridCol w:w="799"/>
        <w:gridCol w:w="859"/>
        <w:gridCol w:w="859"/>
        <w:gridCol w:w="676"/>
        <w:gridCol w:w="859"/>
        <w:gridCol w:w="768"/>
        <w:gridCol w:w="859"/>
        <w:gridCol w:w="676"/>
        <w:gridCol w:w="585"/>
        <w:gridCol w:w="768"/>
        <w:gridCol w:w="813"/>
        <w:gridCol w:w="859"/>
        <w:gridCol w:w="859"/>
        <w:gridCol w:w="6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noWrap w:val="0"/>
            <w:vAlign w:val="center"/>
          </w:tcPr>
          <w:p>
            <w:pPr>
              <w:rPr>
                <w:rFonts w:hint="eastAsia" w:ascii="宋体" w:hAnsi="宋体" w:eastAsia="宋体" w:cs="宋体"/>
                <w:i w:val="0"/>
                <w:iCs w:val="0"/>
                <w:color w:val="000000"/>
                <w:sz w:val="18"/>
                <w:szCs w:val="18"/>
                <w:u w:val="none"/>
              </w:rPr>
            </w:pPr>
          </w:p>
        </w:tc>
        <w:tc>
          <w:tcPr>
            <w:tcW w:w="0" w:type="auto"/>
            <w:gridSpan w:val="18"/>
            <w:tcBorders>
              <w:top w:val="nil"/>
              <w:left w:val="nil"/>
              <w:bottom w:val="nil"/>
              <w:right w:val="nil"/>
            </w:tcBorders>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9" w:hRule="atLeast"/>
        </w:trPr>
        <w:tc>
          <w:tcPr>
            <w:tcW w:w="0" w:type="auto"/>
            <w:gridSpan w:val="19"/>
            <w:tcBorders>
              <w:top w:val="nil"/>
              <w:left w:val="nil"/>
              <w:bottom w:val="nil"/>
              <w:right w:val="nil"/>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color w:val="000000"/>
                <w:kern w:val="0"/>
                <w:sz w:val="44"/>
                <w:szCs w:val="44"/>
                <w:lang w:val="en-US" w:eastAsia="zh-CN" w:bidi="ar"/>
              </w:rPr>
              <w:t>部门收入总体情况表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0" w:type="auto"/>
            <w:tcBorders>
              <w:top w:val="nil"/>
              <w:left w:val="nil"/>
              <w:bottom w:val="nil"/>
              <w:right w:val="nil"/>
            </w:tcBorders>
            <w:shd w:val="clear" w:color="FFFFFF" w:fill="FFFFFF"/>
            <w:noWrap w:val="0"/>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1004" w:type="dxa"/>
            <w:tcBorders>
              <w:top w:val="nil"/>
              <w:left w:val="nil"/>
              <w:bottom w:val="nil"/>
              <w:right w:val="nil"/>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798" w:type="dxa"/>
            <w:tcBorders>
              <w:top w:val="nil"/>
              <w:left w:val="nil"/>
              <w:bottom w:val="nil"/>
              <w:right w:val="nil"/>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FFFFFF" w:fill="FFFFFF"/>
            <w:noWrap/>
            <w:vAlign w:val="bottom"/>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FFFFFF" w:fill="FFFFFF"/>
            <w:noWrap w:val="0"/>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FFFFFF" w:fill="FFFFFF"/>
            <w:noWrap w:val="0"/>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FFFFFF" w:fill="FFFFFF"/>
            <w:noWrap w:val="0"/>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FFFFFF" w:fill="FFFFFF"/>
            <w:noWrap w:val="0"/>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FFFFFF"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FFFFFF" w:fill="FFFFFF"/>
            <w:noWrap w:val="0"/>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0" w:type="auto"/>
            <w:gridSpan w:val="14"/>
            <w:tcBorders>
              <w:top w:val="nil"/>
              <w:left w:val="nil"/>
              <w:bottom w:val="nil"/>
              <w:right w:val="nil"/>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部门/单位：唐河县交通局</w:t>
            </w:r>
          </w:p>
        </w:tc>
        <w:tc>
          <w:tcPr>
            <w:tcW w:w="0" w:type="auto"/>
            <w:gridSpan w:val="5"/>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部门（单位）代码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0" w:type="auto"/>
            <w:gridSpan w:val="10"/>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0" w:type="auto"/>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0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79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038004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唐河县交通运输局</w:t>
            </w:r>
            <w:r>
              <w:rPr>
                <w:rFonts w:hint="eastAsia" w:ascii="宋体" w:hAnsi="宋体" w:cs="宋体"/>
                <w:i w:val="0"/>
                <w:iCs w:val="0"/>
                <w:color w:val="000000"/>
                <w:kern w:val="0"/>
                <w:sz w:val="18"/>
                <w:szCs w:val="18"/>
                <w:u w:val="none"/>
                <w:lang w:val="en-US" w:eastAsia="zh-CN" w:bidi="ar"/>
              </w:rPr>
              <w:t>本级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272.89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272.89 </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272.89 </w:t>
            </w: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272.89</w:t>
            </w:r>
            <w:r>
              <w:rPr>
                <w:rFonts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272.89</w:t>
            </w:r>
            <w:r>
              <w:rPr>
                <w:rFonts w:ascii="宋体" w:hAnsi="宋体" w:eastAsia="宋体" w:cs="宋体"/>
                <w:i w:val="0"/>
                <w:iCs w:val="0"/>
                <w:color w:val="000000"/>
                <w:kern w:val="0"/>
                <w:sz w:val="18"/>
                <w:szCs w:val="18"/>
                <w:u w:val="none"/>
                <w:lang w:val="en-US" w:eastAsia="zh-CN" w:bidi="ar"/>
              </w:rPr>
              <w:t xml:space="preserve"> </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272.89</w:t>
            </w:r>
            <w:r>
              <w:rPr>
                <w:rFonts w:ascii="宋体" w:hAnsi="宋体" w:eastAsia="宋体" w:cs="宋体"/>
                <w:i w:val="0"/>
                <w:iCs w:val="0"/>
                <w:color w:val="000000"/>
                <w:kern w:val="0"/>
                <w:sz w:val="18"/>
                <w:szCs w:val="18"/>
                <w:u w:val="none"/>
                <w:lang w:val="en-US" w:eastAsia="zh-CN" w:bidi="ar"/>
              </w:rPr>
              <w:t xml:space="preserve"> </w:t>
            </w: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bl>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36"/>
        <w:gridCol w:w="3096"/>
        <w:gridCol w:w="756"/>
        <w:gridCol w:w="936"/>
        <w:gridCol w:w="936"/>
        <w:gridCol w:w="1656"/>
        <w:gridCol w:w="1296"/>
        <w:gridCol w:w="1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0" w:type="auto"/>
            <w:gridSpan w:val="8"/>
            <w:tcBorders>
              <w:top w:val="nil"/>
              <w:left w:val="nil"/>
              <w:bottom w:val="nil"/>
              <w:right w:val="nil"/>
            </w:tcBorders>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0" w:type="auto"/>
            <w:gridSpan w:val="8"/>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44"/>
                <w:szCs w:val="44"/>
                <w:lang w:val="en-US" w:eastAsia="zh-CN" w:bidi="ar"/>
              </w:rPr>
            </w:pPr>
          </w:p>
          <w:p>
            <w:pPr>
              <w:keepNext w:val="0"/>
              <w:keepLines w:val="0"/>
              <w:widowControl/>
              <w:suppressLineNumbers w:val="0"/>
              <w:jc w:val="center"/>
              <w:textAlignment w:val="center"/>
              <w:rPr>
                <w:rFonts w:hint="eastAsia" w:ascii="宋体" w:hAnsi="宋体" w:eastAsia="宋体" w:cs="宋体"/>
                <w:b/>
                <w:bCs/>
                <w:color w:val="000000"/>
                <w:kern w:val="0"/>
                <w:sz w:val="44"/>
                <w:szCs w:val="44"/>
                <w:lang w:val="en-US" w:eastAsia="zh-CN" w:bidi="ar"/>
              </w:rPr>
            </w:pPr>
          </w:p>
          <w:p>
            <w:pPr>
              <w:keepNext w:val="0"/>
              <w:keepLines w:val="0"/>
              <w:widowControl/>
              <w:suppressLineNumbers w:val="0"/>
              <w:jc w:val="center"/>
              <w:textAlignment w:val="center"/>
              <w:rPr>
                <w:rFonts w:hint="eastAsia" w:ascii="宋体" w:hAnsi="宋体" w:eastAsia="宋体" w:cs="宋体"/>
                <w:b/>
                <w:bCs/>
                <w:color w:val="000000"/>
                <w:kern w:val="0"/>
                <w:sz w:val="44"/>
                <w:szCs w:val="44"/>
                <w:lang w:val="en-US" w:eastAsia="zh-CN" w:bidi="ar"/>
              </w:rPr>
            </w:pPr>
          </w:p>
          <w:p>
            <w:pPr>
              <w:keepNext w:val="0"/>
              <w:keepLines w:val="0"/>
              <w:widowControl/>
              <w:suppressLineNumbers w:val="0"/>
              <w:jc w:val="center"/>
              <w:textAlignment w:val="center"/>
              <w:rPr>
                <w:rFonts w:hint="eastAsia" w:ascii="宋体" w:hAnsi="宋体" w:eastAsia="宋体" w:cs="宋体"/>
                <w:b/>
                <w:bCs/>
                <w:color w:val="000000"/>
                <w:kern w:val="0"/>
                <w:sz w:val="44"/>
                <w:szCs w:val="44"/>
                <w:lang w:val="en-US" w:eastAsia="zh-CN" w:bidi="ar"/>
              </w:rPr>
            </w:pPr>
          </w:p>
          <w:p>
            <w:pPr>
              <w:keepNext w:val="0"/>
              <w:keepLines w:val="0"/>
              <w:widowControl/>
              <w:suppressLineNumbers w:val="0"/>
              <w:jc w:val="center"/>
              <w:textAlignment w:val="center"/>
              <w:rPr>
                <w:rFonts w:hint="eastAsia" w:ascii="宋体" w:hAnsi="宋体" w:eastAsia="宋体" w:cs="宋体"/>
                <w:b/>
                <w:bCs/>
                <w:color w:val="000000"/>
                <w:kern w:val="0"/>
                <w:sz w:val="44"/>
                <w:szCs w:val="44"/>
                <w:lang w:val="en-US" w:eastAsia="zh-CN" w:bidi="ar"/>
              </w:rPr>
            </w:pPr>
          </w:p>
          <w:p>
            <w:pPr>
              <w:keepNext w:val="0"/>
              <w:keepLines w:val="0"/>
              <w:widowControl/>
              <w:suppressLineNumbers w:val="0"/>
              <w:jc w:val="center"/>
              <w:textAlignment w:val="center"/>
              <w:rPr>
                <w:rFonts w:hint="eastAsia" w:ascii="宋体" w:hAnsi="宋体" w:eastAsia="宋体" w:cs="宋体"/>
                <w:b/>
                <w:bCs/>
                <w:color w:val="000000"/>
                <w:kern w:val="0"/>
                <w:sz w:val="44"/>
                <w:szCs w:val="44"/>
                <w:lang w:val="en-US" w:eastAsia="zh-CN" w:bidi="ar"/>
              </w:rPr>
            </w:pPr>
          </w:p>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hint="eastAsia" w:ascii="宋体" w:hAnsi="宋体" w:eastAsia="宋体" w:cs="宋体"/>
                <w:b/>
                <w:bCs/>
                <w:color w:val="000000"/>
                <w:kern w:val="0"/>
                <w:sz w:val="44"/>
                <w:szCs w:val="44"/>
                <w:lang w:val="en-US" w:eastAsia="zh-CN" w:bidi="ar"/>
              </w:rPr>
              <w:t>部门支出总体情况表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0" w:type="auto"/>
            <w:gridSpan w:val="7"/>
            <w:tcBorders>
              <w:top w:val="nil"/>
              <w:left w:val="nil"/>
              <w:bottom w:val="nil"/>
              <w:right w:val="nil"/>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部门/单位：唐河县交通局</w:t>
            </w:r>
          </w:p>
        </w:tc>
        <w:tc>
          <w:tcPr>
            <w:tcW w:w="0" w:type="auto"/>
            <w:tcBorders>
              <w:top w:val="nil"/>
              <w:left w:val="nil"/>
              <w:bottom w:val="nil"/>
              <w:right w:val="nil"/>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项目支出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事业单位经营支出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上缴上级支出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272.89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213.30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59.59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20101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人大事务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272.89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213.30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59.59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2010101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272.89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213.30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59.59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2101102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事业单位医疗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交通运输支出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21401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公路水路运输</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2140110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公路和运输安全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2140112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公路运输管理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2140199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其他公路水路运输支出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      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272.89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213.30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59.59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bl>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99"/>
        <w:gridCol w:w="2300"/>
        <w:gridCol w:w="4213"/>
        <w:gridCol w:w="2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3080" w:type="dxa"/>
            <w:gridSpan w:val="4"/>
            <w:tcBorders>
              <w:top w:val="nil"/>
              <w:left w:val="nil"/>
              <w:bottom w:val="nil"/>
              <w:right w:val="nil"/>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6"/>
                <w:szCs w:val="36"/>
                <w:u w:val="none"/>
                <w:lang w:val="en-US" w:eastAsia="zh-CN" w:bidi="ar"/>
              </w:rPr>
              <w:t>财政拨款收支总</w:t>
            </w:r>
            <w:r>
              <w:rPr>
                <w:rFonts w:hint="eastAsia" w:ascii="宋体" w:hAnsi="宋体" w:eastAsia="宋体" w:cs="宋体"/>
                <w:b/>
                <w:bCs/>
                <w:i w:val="0"/>
                <w:iCs w:val="0"/>
                <w:color w:val="000000"/>
                <w:kern w:val="0"/>
                <w:sz w:val="36"/>
                <w:szCs w:val="36"/>
                <w:u w:val="none"/>
                <w:lang w:val="en-US" w:eastAsia="zh-CN" w:bidi="ar"/>
              </w:rPr>
              <w:t>体情况</w:t>
            </w:r>
            <w:r>
              <w:rPr>
                <w:rFonts w:ascii="宋体" w:hAnsi="宋体" w:eastAsia="宋体" w:cs="宋体"/>
                <w:b/>
                <w:bCs/>
                <w:i w:val="0"/>
                <w:iCs w:val="0"/>
                <w:color w:val="000000"/>
                <w:kern w:val="0"/>
                <w:sz w:val="36"/>
                <w:szCs w:val="36"/>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5" w:hRule="atLeast"/>
          <w:jc w:val="center"/>
        </w:trPr>
        <w:tc>
          <w:tcPr>
            <w:tcW w:w="4499" w:type="dxa"/>
            <w:tcBorders>
              <w:top w:val="nil"/>
              <w:left w:val="nil"/>
              <w:bottom w:val="single" w:color="000000" w:sz="4" w:space="0"/>
              <w:right w:val="nil"/>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部门/单位：唐河县交通局</w:t>
            </w:r>
          </w:p>
        </w:tc>
        <w:tc>
          <w:tcPr>
            <w:tcW w:w="2300" w:type="dxa"/>
            <w:tcBorders>
              <w:top w:val="nil"/>
              <w:left w:val="nil"/>
              <w:bottom w:val="single" w:color="000000" w:sz="4" w:space="0"/>
              <w:right w:val="nil"/>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8"/>
                <w:szCs w:val="18"/>
                <w:u w:val="none"/>
              </w:rPr>
            </w:pPr>
          </w:p>
        </w:tc>
        <w:tc>
          <w:tcPr>
            <w:tcW w:w="4213" w:type="dxa"/>
            <w:tcBorders>
              <w:top w:val="nil"/>
              <w:left w:val="nil"/>
              <w:bottom w:val="single" w:color="000000" w:sz="4" w:space="0"/>
              <w:right w:val="nil"/>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8"/>
                <w:szCs w:val="18"/>
                <w:u w:val="none"/>
              </w:rPr>
            </w:pPr>
          </w:p>
        </w:tc>
        <w:tc>
          <w:tcPr>
            <w:tcW w:w="2068" w:type="dxa"/>
            <w:tcBorders>
              <w:top w:val="nil"/>
              <w:left w:val="nil"/>
              <w:bottom w:val="single" w:color="000000" w:sz="4" w:space="0"/>
              <w:right w:val="nil"/>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6799" w:type="dxa"/>
            <w:gridSpan w:val="2"/>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收      入</w:t>
            </w:r>
          </w:p>
        </w:tc>
        <w:tc>
          <w:tcPr>
            <w:tcW w:w="6281" w:type="dxa"/>
            <w:gridSpan w:val="2"/>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w:t>
            </w: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预算数</w:t>
            </w: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一、本年收入</w:t>
            </w: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272.89</w:t>
            </w: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一、本年支出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272.89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（一）一般公共预算拨款</w:t>
            </w: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272.89</w:t>
            </w: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（一）一般公共服务支出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272.89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（二）政府性基金预算拨款</w:t>
            </w: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16"/>
                <w:szCs w:val="16"/>
                <w:u w:val="none"/>
                <w:lang w:val="en-US"/>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（二）外交支出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（三）国有资本经营预算拨款</w:t>
            </w: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（三）国防支出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二、上年结转</w:t>
            </w: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（四）公共安全支出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（一）一般公共预算拨款</w:t>
            </w: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（五）教育支出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（二）政府性基金预算拨款</w:t>
            </w: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（六）科学技术支出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（三）国有资本经营预算拨款</w:t>
            </w: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（七）文化体育旅游与传媒支出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（八）社会保障和就业支出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16"/>
                <w:szCs w:val="16"/>
                <w:u w:val="none"/>
                <w:lang w:val="en-US"/>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（九）医疗卫生与计划生育支出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（十）卫生健康支出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16"/>
                <w:szCs w:val="16"/>
                <w:u w:val="none"/>
                <w:lang w:val="en-US"/>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（十一）节能环保支出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（十二）城乡社区事务支出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（十三）农林水事务支出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（十四）交通运输支出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（十五）资源勘探信息等支出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（十六）商业服务业等支出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（十七）金融支出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（十九）援助其他地区支出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（二十）自然资源海洋气象等支出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（二十一）住房保障支出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（二十二）粮油物资储备支出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（二十三）国有资本经营预算</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（二十四）灾害防治及应急管理</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（二十七）预备费</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9"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（二十九）其他支出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9"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（三十）转移性支出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9"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（三十一）债务还本支出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9"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（三十二）债务付息支出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9"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（三十三）债务发行费用支出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（三十四）抗疫特别国债安排的支出</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二、年终结转结余</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4499"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收    入    总    计</w:t>
            </w:r>
          </w:p>
        </w:tc>
        <w:tc>
          <w:tcPr>
            <w:tcW w:w="2300"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272.89</w:t>
            </w:r>
          </w:p>
        </w:tc>
        <w:tc>
          <w:tcPr>
            <w:tcW w:w="4213"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支    出    总    计</w:t>
            </w:r>
          </w:p>
        </w:tc>
        <w:tc>
          <w:tcPr>
            <w:tcW w:w="2068"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272.89</w:t>
            </w:r>
          </w:p>
        </w:tc>
      </w:tr>
    </w:tbl>
    <w:p>
      <w:pPr>
        <w:adjustRightInd w:val="0"/>
        <w:snapToGrid w:val="0"/>
        <w:spacing w:line="360" w:lineRule="auto"/>
        <w:jc w:val="both"/>
        <w:rPr>
          <w:rFonts w:hint="eastAsia" w:ascii="黑体" w:hAnsi="黑体" w:eastAsia="黑体"/>
          <w:sz w:val="32"/>
          <w:szCs w:val="32"/>
        </w:rPr>
      </w:pPr>
    </w:p>
    <w:tbl>
      <w:tblPr>
        <w:tblStyle w:val="5"/>
        <w:tblW w:w="129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54"/>
        <w:gridCol w:w="3644"/>
        <w:gridCol w:w="1444"/>
        <w:gridCol w:w="1176"/>
        <w:gridCol w:w="1248"/>
        <w:gridCol w:w="1500"/>
        <w:gridCol w:w="2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12976" w:type="dxa"/>
            <w:gridSpan w:val="7"/>
            <w:tcBorders>
              <w:top w:val="nil"/>
              <w:left w:val="nil"/>
              <w:bottom w:val="nil"/>
              <w:right w:val="nil"/>
            </w:tcBorders>
            <w:shd w:val="clear" w:color="FFFFFF" w:fill="FFFFFF"/>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kern w:val="0"/>
                <w:sz w:val="44"/>
                <w:szCs w:val="4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一般公共预算支出情况表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jc w:val="center"/>
        </w:trPr>
        <w:tc>
          <w:tcPr>
            <w:tcW w:w="1754" w:type="dxa"/>
            <w:tcBorders>
              <w:top w:val="nil"/>
              <w:left w:val="nil"/>
              <w:bottom w:val="nil"/>
              <w:right w:val="nil"/>
            </w:tcBorders>
            <w:shd w:val="clear" w:color="FFFFFF" w:fill="FFFFFF"/>
            <w:noWrap w:val="0"/>
            <w:vAlign w:val="center"/>
          </w:tcPr>
          <w:p>
            <w:pPr>
              <w:jc w:val="left"/>
              <w:rPr>
                <w:rFonts w:hint="default" w:ascii="宋体" w:hAnsi="宋体" w:eastAsia="宋体" w:cs="宋体"/>
                <w:i w:val="0"/>
                <w:iCs w:val="0"/>
                <w:color w:val="000000"/>
                <w:sz w:val="20"/>
                <w:szCs w:val="20"/>
                <w:u w:val="none"/>
                <w:lang w:val="en-US"/>
              </w:rPr>
            </w:pPr>
            <w:r>
              <w:rPr>
                <w:rFonts w:ascii="宋体" w:hAnsi="宋体" w:eastAsia="宋体" w:cs="宋体"/>
                <w:i w:val="0"/>
                <w:iCs w:val="0"/>
                <w:color w:val="000000"/>
                <w:kern w:val="0"/>
                <w:sz w:val="18"/>
                <w:szCs w:val="18"/>
                <w:u w:val="none"/>
                <w:lang w:val="en-US" w:eastAsia="zh-CN" w:bidi="ar"/>
              </w:rPr>
              <w:t>部门/单位：</w:t>
            </w:r>
            <w:r>
              <w:rPr>
                <w:rFonts w:hint="eastAsia" w:ascii="宋体" w:hAnsi="宋体" w:eastAsia="宋体" w:cs="宋体"/>
                <w:i w:val="0"/>
                <w:iCs w:val="0"/>
                <w:color w:val="000000"/>
                <w:kern w:val="0"/>
                <w:sz w:val="18"/>
                <w:szCs w:val="18"/>
                <w:u w:val="none"/>
                <w:lang w:val="en-US" w:eastAsia="zh-CN" w:bidi="ar"/>
              </w:rPr>
              <w:t xml:space="preserve"> </w:t>
            </w:r>
            <w:r>
              <w:rPr>
                <w:rFonts w:ascii="宋体" w:hAnsi="宋体" w:eastAsia="宋体" w:cs="宋体"/>
                <w:i w:val="0"/>
                <w:iCs w:val="0"/>
                <w:color w:val="000000"/>
                <w:kern w:val="0"/>
                <w:sz w:val="18"/>
                <w:szCs w:val="18"/>
                <w:u w:val="none"/>
                <w:lang w:val="en-US" w:eastAsia="zh-CN" w:bidi="ar"/>
              </w:rPr>
              <w:t>唐河县</w:t>
            </w:r>
            <w:r>
              <w:rPr>
                <w:rFonts w:hint="eastAsia" w:ascii="宋体" w:hAnsi="宋体" w:eastAsia="宋体" w:cs="宋体"/>
                <w:i w:val="0"/>
                <w:iCs w:val="0"/>
                <w:color w:val="000000"/>
                <w:kern w:val="0"/>
                <w:sz w:val="18"/>
                <w:szCs w:val="18"/>
                <w:u w:val="none"/>
                <w:lang w:val="en-US" w:eastAsia="zh-CN" w:bidi="ar"/>
              </w:rPr>
              <w:t>交通局</w:t>
            </w:r>
          </w:p>
        </w:tc>
        <w:tc>
          <w:tcPr>
            <w:tcW w:w="3644" w:type="dxa"/>
            <w:tcBorders>
              <w:top w:val="nil"/>
              <w:left w:val="nil"/>
              <w:bottom w:val="nil"/>
              <w:right w:val="nil"/>
            </w:tcBorders>
            <w:shd w:val="clear" w:color="auto" w:fill="auto"/>
            <w:noWrap w:val="0"/>
            <w:vAlign w:val="center"/>
          </w:tcPr>
          <w:p>
            <w:pPr>
              <w:rPr>
                <w:rFonts w:hint="eastAsia" w:ascii="宋体" w:hAnsi="宋体" w:eastAsia="宋体" w:cs="宋体"/>
                <w:i w:val="0"/>
                <w:iCs w:val="0"/>
                <w:color w:val="000000"/>
                <w:sz w:val="18"/>
                <w:szCs w:val="18"/>
                <w:u w:val="none"/>
              </w:rPr>
            </w:pPr>
          </w:p>
        </w:tc>
        <w:tc>
          <w:tcPr>
            <w:tcW w:w="1444" w:type="dxa"/>
            <w:tcBorders>
              <w:top w:val="nil"/>
              <w:left w:val="nil"/>
              <w:bottom w:val="nil"/>
              <w:right w:val="nil"/>
            </w:tcBorders>
            <w:shd w:val="clear" w:color="auto" w:fill="auto"/>
            <w:noWrap w:val="0"/>
            <w:vAlign w:val="center"/>
          </w:tcPr>
          <w:p>
            <w:pPr>
              <w:rPr>
                <w:rFonts w:hint="eastAsia" w:ascii="宋体" w:hAnsi="宋体" w:eastAsia="宋体" w:cs="宋体"/>
                <w:i w:val="0"/>
                <w:iCs w:val="0"/>
                <w:color w:val="000000"/>
                <w:sz w:val="18"/>
                <w:szCs w:val="18"/>
                <w:u w:val="none"/>
              </w:rPr>
            </w:pPr>
          </w:p>
        </w:tc>
        <w:tc>
          <w:tcPr>
            <w:tcW w:w="1176" w:type="dxa"/>
            <w:tcBorders>
              <w:top w:val="nil"/>
              <w:left w:val="nil"/>
              <w:bottom w:val="nil"/>
              <w:right w:val="nil"/>
            </w:tcBorders>
            <w:shd w:val="clear" w:color="auto" w:fill="auto"/>
            <w:noWrap w:val="0"/>
            <w:vAlign w:val="center"/>
          </w:tcPr>
          <w:p>
            <w:pPr>
              <w:rPr>
                <w:rFonts w:hint="eastAsia" w:ascii="宋体" w:hAnsi="宋体" w:eastAsia="宋体" w:cs="宋体"/>
                <w:i w:val="0"/>
                <w:iCs w:val="0"/>
                <w:color w:val="000000"/>
                <w:sz w:val="18"/>
                <w:szCs w:val="18"/>
                <w:u w:val="none"/>
              </w:rPr>
            </w:pPr>
          </w:p>
        </w:tc>
        <w:tc>
          <w:tcPr>
            <w:tcW w:w="1248" w:type="dxa"/>
            <w:tcBorders>
              <w:top w:val="nil"/>
              <w:left w:val="nil"/>
              <w:bottom w:val="nil"/>
              <w:right w:val="nil"/>
            </w:tcBorders>
            <w:shd w:val="clear" w:color="auto" w:fill="auto"/>
            <w:noWrap w:val="0"/>
            <w:vAlign w:val="center"/>
          </w:tcPr>
          <w:p>
            <w:pPr>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noWrap w:val="0"/>
            <w:vAlign w:val="center"/>
          </w:tcPr>
          <w:p>
            <w:pPr>
              <w:rPr>
                <w:rFonts w:hint="eastAsia" w:ascii="宋体" w:hAnsi="宋体" w:eastAsia="宋体" w:cs="宋体"/>
                <w:i w:val="0"/>
                <w:iCs w:val="0"/>
                <w:color w:val="000000"/>
                <w:sz w:val="18"/>
                <w:szCs w:val="18"/>
                <w:u w:val="none"/>
              </w:rPr>
            </w:pPr>
          </w:p>
        </w:tc>
        <w:tc>
          <w:tcPr>
            <w:tcW w:w="2210" w:type="dxa"/>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754" w:type="dxa"/>
            <w:vMerge w:val="restart"/>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644"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44"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3924"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21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754" w:type="dxa"/>
            <w:vMerge w:val="continue"/>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3644" w:type="dxa"/>
            <w:vMerge w:val="continue"/>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444" w:type="dxa"/>
            <w:vMerge w:val="continue"/>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17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24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150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2210" w:type="dxa"/>
            <w:vMerge w:val="continue"/>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一般公共服务支出</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272.89</w:t>
            </w:r>
          </w:p>
        </w:tc>
        <w:tc>
          <w:tcPr>
            <w:tcW w:w="1176" w:type="dxa"/>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190.36</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22.94</w:t>
            </w:r>
          </w:p>
        </w:tc>
        <w:tc>
          <w:tcPr>
            <w:tcW w:w="2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20101</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人大事务</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272.89</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213.3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190.36</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22.94</w:t>
            </w:r>
          </w:p>
        </w:tc>
        <w:tc>
          <w:tcPr>
            <w:tcW w:w="2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2010101</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行政运行</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272.89</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213.3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190.36</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22.94</w:t>
            </w:r>
          </w:p>
        </w:tc>
        <w:tc>
          <w:tcPr>
            <w:tcW w:w="2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社会保障和就业支出</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20805</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行政事业单位养老支出</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2080505</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卫生健康支出</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21011</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行政事业单位医疗</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2101102</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事业单位医疗</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214</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交通运输支出</w:t>
            </w:r>
          </w:p>
        </w:tc>
        <w:tc>
          <w:tcPr>
            <w:tcW w:w="1444" w:type="dxa"/>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176" w:type="dxa"/>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21401</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公路水路运输</w:t>
            </w:r>
          </w:p>
        </w:tc>
        <w:tc>
          <w:tcPr>
            <w:tcW w:w="1444"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176"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2140110</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公路和运输安全</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24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2140112</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公路运输管理</w:t>
            </w:r>
          </w:p>
        </w:tc>
        <w:tc>
          <w:tcPr>
            <w:tcW w:w="1444" w:type="dxa"/>
            <w:tcBorders>
              <w:top w:val="nil"/>
              <w:left w:val="nil"/>
              <w:bottom w:val="nil"/>
              <w:right w:val="nil"/>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176" w:type="dxa"/>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2140199</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其他公路水路运输支出</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8.0</w:t>
            </w:r>
            <w:r>
              <w:rPr>
                <w:rFonts w:hint="eastAsia" w:ascii="宋体" w:hAnsi="宋体" w:eastAsia="宋体" w:cs="宋体"/>
                <w:i w:val="0"/>
                <w:iCs w:val="0"/>
                <w:color w:val="000000"/>
                <w:kern w:val="0"/>
                <w:sz w:val="18"/>
                <w:szCs w:val="18"/>
                <w:u w:val="none"/>
                <w:lang w:val="en-US" w:eastAsia="zh-CN" w:bidi="ar"/>
              </w:rPr>
              <w:t>0</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8.0</w:t>
            </w:r>
            <w:r>
              <w:rPr>
                <w:rFonts w:hint="eastAsia" w:ascii="宋体" w:hAnsi="宋体" w:eastAsia="宋体" w:cs="宋体"/>
                <w:i w:val="0"/>
                <w:iCs w:val="0"/>
                <w:color w:val="000000"/>
                <w:kern w:val="0"/>
                <w:sz w:val="18"/>
                <w:szCs w:val="18"/>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8.0</w:t>
            </w:r>
            <w:r>
              <w:rPr>
                <w:rFonts w:hint="eastAsia" w:ascii="宋体" w:hAnsi="宋体" w:eastAsia="宋体" w:cs="宋体"/>
                <w:i w:val="0"/>
                <w:iCs w:val="0"/>
                <w:color w:val="000000"/>
                <w:kern w:val="0"/>
                <w:sz w:val="18"/>
                <w:szCs w:val="18"/>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221</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住房保障支出</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22102</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住房改革支出</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2210201</w:t>
            </w:r>
          </w:p>
        </w:tc>
        <w:tc>
          <w:tcPr>
            <w:tcW w:w="3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53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合      计 </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272.89</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213.3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190.36</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22.94</w:t>
            </w:r>
          </w:p>
        </w:tc>
        <w:tc>
          <w:tcPr>
            <w:tcW w:w="2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59.59</w:t>
            </w:r>
          </w:p>
        </w:tc>
      </w:tr>
    </w:tbl>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63"/>
        <w:gridCol w:w="3096"/>
        <w:gridCol w:w="1740"/>
        <w:gridCol w:w="1843"/>
        <w:gridCol w:w="2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1289" w:type="dxa"/>
            <w:gridSpan w:val="5"/>
            <w:tcBorders>
              <w:top w:val="nil"/>
              <w:left w:val="nil"/>
              <w:bottom w:val="nil"/>
              <w:right w:val="nil"/>
            </w:tcBorders>
            <w:noWrap w:val="0"/>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11289" w:type="dxa"/>
            <w:gridSpan w:val="5"/>
            <w:tcBorders>
              <w:top w:val="nil"/>
              <w:left w:val="nil"/>
              <w:bottom w:val="nil"/>
              <w:right w:val="nil"/>
            </w:tcBorders>
            <w:noWrap w:val="0"/>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一般公共预算基本支出</w:t>
            </w:r>
            <w:r>
              <w:rPr>
                <w:rFonts w:hint="eastAsia" w:ascii="宋体" w:hAnsi="宋体" w:eastAsia="宋体" w:cs="宋体"/>
                <w:b/>
                <w:bCs/>
                <w:i w:val="0"/>
                <w:iCs w:val="0"/>
                <w:color w:val="000000"/>
                <w:kern w:val="0"/>
                <w:sz w:val="38"/>
                <w:szCs w:val="38"/>
                <w:u w:val="none"/>
                <w:lang w:val="en-US" w:eastAsia="zh-CN" w:bidi="ar"/>
              </w:rPr>
              <w:t>情况</w:t>
            </w:r>
            <w:r>
              <w:rPr>
                <w:rFonts w:ascii="宋体" w:hAnsi="宋体" w:eastAsia="宋体" w:cs="宋体"/>
                <w:b/>
                <w:bCs/>
                <w:i w:val="0"/>
                <w:iCs w:val="0"/>
                <w:color w:val="000000"/>
                <w:kern w:val="0"/>
                <w:sz w:val="38"/>
                <w:szCs w:val="38"/>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63" w:type="dxa"/>
            <w:tcBorders>
              <w:top w:val="nil"/>
              <w:left w:val="nil"/>
              <w:bottom w:val="nil"/>
              <w:right w:val="nil"/>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部门/单位：唐河县交通局</w:t>
            </w:r>
          </w:p>
        </w:tc>
        <w:tc>
          <w:tcPr>
            <w:tcW w:w="3096" w:type="dxa"/>
            <w:tcBorders>
              <w:top w:val="nil"/>
              <w:left w:val="nil"/>
              <w:bottom w:val="nil"/>
              <w:right w:val="nil"/>
            </w:tcBorders>
            <w:noWrap w:val="0"/>
            <w:vAlign w:val="center"/>
          </w:tcPr>
          <w:p>
            <w:pPr>
              <w:rPr>
                <w:rFonts w:hint="eastAsia" w:ascii="宋体" w:hAnsi="宋体" w:eastAsia="宋体" w:cs="宋体"/>
                <w:i w:val="0"/>
                <w:iCs w:val="0"/>
                <w:color w:val="000000"/>
                <w:sz w:val="18"/>
                <w:szCs w:val="18"/>
                <w:u w:val="none"/>
              </w:rPr>
            </w:pPr>
          </w:p>
        </w:tc>
        <w:tc>
          <w:tcPr>
            <w:tcW w:w="1740" w:type="dxa"/>
            <w:tcBorders>
              <w:top w:val="nil"/>
              <w:left w:val="nil"/>
              <w:bottom w:val="nil"/>
              <w:right w:val="nil"/>
            </w:tcBorders>
            <w:noWrap w:val="0"/>
            <w:vAlign w:val="center"/>
          </w:tcPr>
          <w:p>
            <w:pPr>
              <w:rPr>
                <w:rFonts w:hint="eastAsia" w:ascii="宋体" w:hAnsi="宋体" w:eastAsia="宋体" w:cs="宋体"/>
                <w:i w:val="0"/>
                <w:iCs w:val="0"/>
                <w:color w:val="000000"/>
                <w:sz w:val="18"/>
                <w:szCs w:val="18"/>
                <w:u w:val="none"/>
              </w:rPr>
            </w:pPr>
          </w:p>
        </w:tc>
        <w:tc>
          <w:tcPr>
            <w:tcW w:w="1843" w:type="dxa"/>
            <w:tcBorders>
              <w:top w:val="nil"/>
              <w:left w:val="nil"/>
              <w:bottom w:val="nil"/>
              <w:right w:val="nil"/>
            </w:tcBorders>
            <w:noWrap w:val="0"/>
            <w:vAlign w:val="center"/>
          </w:tcPr>
          <w:p>
            <w:pPr>
              <w:rPr>
                <w:rFonts w:hint="eastAsia" w:ascii="宋体" w:hAnsi="宋体" w:eastAsia="宋体" w:cs="宋体"/>
                <w:i w:val="0"/>
                <w:iCs w:val="0"/>
                <w:color w:val="000000"/>
                <w:sz w:val="18"/>
                <w:szCs w:val="18"/>
                <w:u w:val="none"/>
              </w:rPr>
            </w:pPr>
          </w:p>
        </w:tc>
        <w:tc>
          <w:tcPr>
            <w:tcW w:w="2247" w:type="dxa"/>
            <w:tcBorders>
              <w:top w:val="nil"/>
              <w:left w:val="nil"/>
              <w:bottom w:val="nil"/>
              <w:right w:val="nil"/>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54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部门预算支出经济分类科目</w:t>
            </w:r>
          </w:p>
        </w:tc>
        <w:tc>
          <w:tcPr>
            <w:tcW w:w="583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人员经费</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213.30</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190.36</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30101</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基本工资</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110.20</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110.20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30102</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津贴补贴</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1.60</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1.6</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30103</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14.2</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sz w:val="18"/>
                <w:szCs w:val="18"/>
                <w:u w:val="none"/>
                <w:lang w:val="en-US" w:eastAsia="zh-CN"/>
              </w:rPr>
              <w:t>14.2</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30107</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绩效工资</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4.65</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4.65</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30108</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17.6</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17.6</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30110</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职工基本医疗保险缴费</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9.2</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9.2</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30112</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其他社会保障缴费</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0.4</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0.4</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30113</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11</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11</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30199</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其他工资福利支出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10.8</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30201</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办公费</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2.04</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30205</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水费</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0.9</w:t>
            </w:r>
            <w:r>
              <w:rPr>
                <w:rFonts w:hint="eastAsia" w:ascii="宋体" w:hAnsi="宋体" w:eastAsia="宋体" w:cs="宋体"/>
                <w:i w:val="0"/>
                <w:iCs w:val="0"/>
                <w:color w:val="000000"/>
                <w:kern w:val="0"/>
                <w:sz w:val="18"/>
                <w:szCs w:val="18"/>
                <w:u w:val="none"/>
                <w:lang w:val="en-US" w:eastAsia="zh-CN" w:bidi="ar"/>
              </w:rPr>
              <w:t>0</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0.9</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30206</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电费</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0</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30217</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公务接待费</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0.3</w:t>
            </w:r>
            <w:r>
              <w:rPr>
                <w:rFonts w:hint="eastAsia" w:ascii="宋体" w:hAnsi="宋体" w:eastAsia="宋体" w:cs="宋体"/>
                <w:i w:val="0"/>
                <w:iCs w:val="0"/>
                <w:color w:val="000000"/>
                <w:kern w:val="0"/>
                <w:sz w:val="18"/>
                <w:szCs w:val="18"/>
                <w:u w:val="none"/>
                <w:lang w:val="en-US" w:eastAsia="zh-CN" w:bidi="ar"/>
              </w:rPr>
              <w:t>0</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0.3</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30228</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工会经费</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2.30</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30229</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福利费</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2.70</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30231</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公务用车运行维护费</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1.6</w:t>
            </w:r>
            <w:r>
              <w:rPr>
                <w:rFonts w:hint="eastAsia" w:ascii="宋体" w:hAnsi="宋体" w:eastAsia="宋体" w:cs="宋体"/>
                <w:i w:val="0"/>
                <w:iCs w:val="0"/>
                <w:color w:val="000000"/>
                <w:kern w:val="0"/>
                <w:sz w:val="18"/>
                <w:szCs w:val="18"/>
                <w:u w:val="none"/>
                <w:lang w:val="en-US" w:eastAsia="zh-CN" w:bidi="ar"/>
              </w:rPr>
              <w:t>0</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1.6</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30239</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其他交通费用</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0</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对个人和家庭的补助</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12.1</w:t>
            </w:r>
            <w:r>
              <w:rPr>
                <w:rFonts w:hint="eastAsia" w:ascii="宋体" w:hAnsi="宋体" w:eastAsia="宋体" w:cs="宋体"/>
                <w:i w:val="0"/>
                <w:iCs w:val="0"/>
                <w:color w:val="000000"/>
                <w:kern w:val="0"/>
                <w:sz w:val="18"/>
                <w:szCs w:val="18"/>
                <w:u w:val="none"/>
                <w:lang w:val="en-US" w:eastAsia="zh-CN" w:bidi="ar"/>
              </w:rPr>
              <w:t>0</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12.1</w:t>
            </w:r>
            <w:r>
              <w:rPr>
                <w:rFonts w:hint="eastAsia" w:ascii="宋体" w:hAnsi="宋体" w:eastAsia="宋体" w:cs="宋体"/>
                <w:i w:val="0"/>
                <w:iCs w:val="0"/>
                <w:color w:val="000000"/>
                <w:kern w:val="0"/>
                <w:sz w:val="18"/>
                <w:szCs w:val="18"/>
                <w:u w:val="none"/>
                <w:lang w:val="en-US" w:eastAsia="zh-CN" w:bidi="ar"/>
              </w:rPr>
              <w:t>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30302</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退休费</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10.</w:t>
            </w:r>
            <w:r>
              <w:rPr>
                <w:rFonts w:hint="eastAsia" w:ascii="宋体" w:hAnsi="宋体" w:cs="宋体"/>
                <w:i w:val="0"/>
                <w:iCs w:val="0"/>
                <w:color w:val="000000"/>
                <w:kern w:val="0"/>
                <w:sz w:val="18"/>
                <w:szCs w:val="18"/>
                <w:u w:val="none"/>
                <w:lang w:val="en-US" w:eastAsia="zh-CN" w:bidi="ar"/>
              </w:rPr>
              <w:t>20</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10.</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30305</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生活补助</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1.4</w:t>
            </w:r>
            <w:r>
              <w:rPr>
                <w:rFonts w:hint="eastAsia" w:ascii="宋体" w:hAnsi="宋体" w:eastAsia="宋体" w:cs="宋体"/>
                <w:i w:val="0"/>
                <w:iCs w:val="0"/>
                <w:color w:val="000000"/>
                <w:kern w:val="0"/>
                <w:sz w:val="18"/>
                <w:szCs w:val="18"/>
                <w:u w:val="none"/>
                <w:lang w:val="en-US" w:eastAsia="zh-CN" w:bidi="ar"/>
              </w:rPr>
              <w:t>0</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1.4</w:t>
            </w:r>
            <w:r>
              <w:rPr>
                <w:rFonts w:hint="eastAsia" w:ascii="宋体" w:hAnsi="宋体" w:eastAsia="宋体" w:cs="宋体"/>
                <w:i w:val="0"/>
                <w:iCs w:val="0"/>
                <w:color w:val="000000"/>
                <w:kern w:val="0"/>
                <w:sz w:val="18"/>
                <w:szCs w:val="18"/>
                <w:u w:val="none"/>
                <w:lang w:val="en-US" w:eastAsia="zh-CN" w:bidi="ar"/>
              </w:rPr>
              <w:t>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bl>
    <w:p>
      <w:pPr>
        <w:adjustRightInd w:val="0"/>
        <w:snapToGrid w:val="0"/>
        <w:spacing w:line="360" w:lineRule="auto"/>
        <w:jc w:val="center"/>
        <w:rPr>
          <w:rFonts w:hint="eastAsia" w:ascii="黑体" w:hAnsi="黑体" w:eastAsia="黑体"/>
          <w:sz w:val="32"/>
          <w:szCs w:val="32"/>
        </w:rPr>
      </w:pPr>
    </w:p>
    <w:tbl>
      <w:tblPr>
        <w:tblStyle w:val="5"/>
        <w:tblpPr w:leftFromText="180" w:rightFromText="180" w:vertAnchor="text" w:horzAnchor="page" w:tblpXSpec="center" w:tblpY="-674"/>
        <w:tblOverlap w:val="never"/>
        <w:tblW w:w="156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6"/>
        <w:gridCol w:w="396"/>
        <w:gridCol w:w="1552"/>
        <w:gridCol w:w="539"/>
        <w:gridCol w:w="409"/>
        <w:gridCol w:w="1188"/>
        <w:gridCol w:w="732"/>
        <w:gridCol w:w="817"/>
        <w:gridCol w:w="1161"/>
        <w:gridCol w:w="723"/>
        <w:gridCol w:w="966"/>
        <w:gridCol w:w="804"/>
        <w:gridCol w:w="1128"/>
        <w:gridCol w:w="833"/>
        <w:gridCol w:w="1248"/>
        <w:gridCol w:w="804"/>
        <w:gridCol w:w="936"/>
        <w:gridCol w:w="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620" w:type="dxa"/>
            <w:gridSpan w:val="18"/>
            <w:tcBorders>
              <w:top w:val="nil"/>
              <w:left w:val="nil"/>
              <w:bottom w:val="nil"/>
              <w:right w:val="nil"/>
            </w:tcBorders>
            <w:noWrap w:val="0"/>
            <w:vAlign w:val="center"/>
          </w:tcPr>
          <w:p>
            <w:pPr>
              <w:keepNext w:val="0"/>
              <w:keepLines w:val="0"/>
              <w:widowControl/>
              <w:suppressLineNumbers w:val="0"/>
              <w:jc w:val="center"/>
              <w:textAlignment w:val="center"/>
              <w:rPr>
                <w:rFonts w:ascii="宋体" w:hAnsi="宋体" w:eastAsia="宋体" w:cs="宋体"/>
                <w:b/>
                <w:bCs/>
                <w:i w:val="0"/>
                <w:iCs w:val="0"/>
                <w:color w:val="000000"/>
                <w:sz w:val="32"/>
                <w:szCs w:val="32"/>
                <w:u w:val="none"/>
              </w:rPr>
            </w:pPr>
            <w:r>
              <w:rPr>
                <w:rFonts w:ascii="宋体" w:hAnsi="宋体" w:eastAsia="宋体" w:cs="宋体"/>
                <w:b/>
                <w:bCs/>
                <w:i w:val="0"/>
                <w:iCs w:val="0"/>
                <w:color w:val="000000"/>
                <w:kern w:val="0"/>
                <w:sz w:val="32"/>
                <w:szCs w:val="32"/>
                <w:u w:val="none"/>
                <w:lang w:val="en-US" w:eastAsia="zh-CN" w:bidi="ar"/>
              </w:rPr>
              <w:t>支出经济分类汇总表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644" w:type="dxa"/>
            <w:gridSpan w:val="3"/>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3"/>
                <w:szCs w:val="13"/>
                <w:u w:val="none"/>
                <w:lang w:val="en-US"/>
              </w:rPr>
            </w:pPr>
            <w:r>
              <w:rPr>
                <w:rFonts w:ascii="宋体" w:hAnsi="宋体" w:eastAsia="宋体" w:cs="宋体"/>
                <w:i w:val="0"/>
                <w:iCs w:val="0"/>
                <w:color w:val="000000"/>
                <w:kern w:val="0"/>
                <w:sz w:val="13"/>
                <w:szCs w:val="13"/>
                <w:u w:val="none"/>
                <w:lang w:val="en-US" w:eastAsia="zh-CN" w:bidi="ar"/>
              </w:rPr>
              <w:t>部门名称：</w:t>
            </w:r>
            <w:r>
              <w:rPr>
                <w:rFonts w:hint="eastAsia" w:ascii="宋体" w:hAnsi="宋体" w:eastAsia="宋体" w:cs="宋体"/>
                <w:i w:val="0"/>
                <w:iCs w:val="0"/>
                <w:color w:val="000000"/>
                <w:kern w:val="0"/>
                <w:sz w:val="13"/>
                <w:szCs w:val="13"/>
                <w:u w:val="none"/>
                <w:lang w:val="en-US" w:eastAsia="zh-CN" w:bidi="ar"/>
              </w:rPr>
              <w:t>唐河县交通局</w:t>
            </w:r>
          </w:p>
        </w:tc>
        <w:tc>
          <w:tcPr>
            <w:tcW w:w="12288" w:type="dxa"/>
            <w:gridSpan w:val="14"/>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宋体" w:hAnsi="宋体" w:eastAsia="宋体" w:cs="宋体"/>
                <w:i w:val="0"/>
                <w:iCs w:val="0"/>
                <w:color w:val="000000"/>
                <w:sz w:val="13"/>
                <w:szCs w:val="13"/>
                <w:u w:val="none"/>
                <w:lang w:val="en-US" w:eastAsia="zh-CN"/>
              </w:rPr>
            </w:pPr>
            <w:r>
              <w:rPr>
                <w:rFonts w:hint="eastAsia" w:ascii="宋体" w:hAnsi="宋体" w:eastAsia="宋体" w:cs="宋体"/>
                <w:i w:val="0"/>
                <w:iCs w:val="0"/>
                <w:color w:val="000000"/>
                <w:sz w:val="13"/>
                <w:szCs w:val="13"/>
                <w:u w:val="none"/>
                <w:lang w:val="en-US" w:eastAsia="zh-CN"/>
              </w:rPr>
              <w:t xml:space="preserve">                                                                                                                          单位：万元</w:t>
            </w:r>
          </w:p>
        </w:tc>
        <w:tc>
          <w:tcPr>
            <w:tcW w:w="688" w:type="dxa"/>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6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部门预算经济分类</w:t>
            </w:r>
          </w:p>
        </w:tc>
        <w:tc>
          <w:tcPr>
            <w:tcW w:w="21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政府预算经济分类</w:t>
            </w:r>
          </w:p>
        </w:tc>
        <w:tc>
          <w:tcPr>
            <w:tcW w:w="7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总计</w:t>
            </w:r>
          </w:p>
        </w:tc>
        <w:tc>
          <w:tcPr>
            <w:tcW w:w="19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一般公共预算</w:t>
            </w:r>
          </w:p>
        </w:tc>
        <w:tc>
          <w:tcPr>
            <w:tcW w:w="7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政府性基金</w:t>
            </w:r>
          </w:p>
        </w:tc>
        <w:tc>
          <w:tcPr>
            <w:tcW w:w="96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国有资本经营预算</w:t>
            </w:r>
          </w:p>
        </w:tc>
        <w:tc>
          <w:tcPr>
            <w:tcW w:w="8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上年结转结余</w:t>
            </w:r>
          </w:p>
        </w:tc>
        <w:tc>
          <w:tcPr>
            <w:tcW w:w="112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财政专户管理资金收入</w:t>
            </w:r>
          </w:p>
        </w:tc>
        <w:tc>
          <w:tcPr>
            <w:tcW w:w="83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事业收入</w:t>
            </w:r>
          </w:p>
        </w:tc>
        <w:tc>
          <w:tcPr>
            <w:tcW w:w="12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上级补助收入</w:t>
            </w:r>
          </w:p>
        </w:tc>
        <w:tc>
          <w:tcPr>
            <w:tcW w:w="8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附属单位上缴收入</w:t>
            </w:r>
          </w:p>
        </w:tc>
        <w:tc>
          <w:tcPr>
            <w:tcW w:w="9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事业单位经营收入</w:t>
            </w:r>
          </w:p>
        </w:tc>
        <w:tc>
          <w:tcPr>
            <w:tcW w:w="6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类</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款</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科目名称</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类</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款</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科目名称</w:t>
            </w:r>
          </w:p>
        </w:tc>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小计</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其中：财政拨款</w:t>
            </w:r>
          </w:p>
        </w:tc>
        <w:tc>
          <w:tcPr>
            <w:tcW w:w="7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96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2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83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24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9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8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合计</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272.89</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272.89</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272.89</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rPr>
            </w:pPr>
            <w:r>
              <w:rPr>
                <w:rFonts w:ascii="宋体" w:hAnsi="宋体" w:eastAsia="宋体" w:cs="宋体"/>
                <w:i w:val="0"/>
                <w:iCs w:val="0"/>
                <w:color w:val="000000"/>
                <w:kern w:val="0"/>
                <w:sz w:val="16"/>
                <w:szCs w:val="16"/>
                <w:u w:val="none"/>
                <w:lang w:val="en-US" w:eastAsia="zh-CN" w:bidi="ar"/>
              </w:rPr>
              <w:t>038</w:t>
            </w:r>
            <w:r>
              <w:rPr>
                <w:rFonts w:hint="eastAsia" w:ascii="宋体" w:hAnsi="宋体" w:cs="宋体"/>
                <w:i w:val="0"/>
                <w:iCs w:val="0"/>
                <w:color w:val="000000"/>
                <w:kern w:val="0"/>
                <w:sz w:val="16"/>
                <w:szCs w:val="16"/>
                <w:u w:val="none"/>
                <w:lang w:val="en-US" w:eastAsia="zh-CN" w:bidi="ar"/>
              </w:rPr>
              <w:t>004</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rPr>
            </w:pPr>
            <w:r>
              <w:rPr>
                <w:rFonts w:ascii="宋体" w:hAnsi="宋体" w:eastAsia="宋体" w:cs="宋体"/>
                <w:i w:val="0"/>
                <w:iCs w:val="0"/>
                <w:color w:val="000000"/>
                <w:kern w:val="0"/>
                <w:sz w:val="16"/>
                <w:szCs w:val="16"/>
                <w:u w:val="none"/>
                <w:lang w:val="en-US" w:eastAsia="zh-CN" w:bidi="ar"/>
              </w:rPr>
              <w:t>唐河县交通局</w:t>
            </w:r>
            <w:r>
              <w:rPr>
                <w:rFonts w:hint="eastAsia" w:ascii="宋体" w:hAnsi="宋体" w:cs="宋体"/>
                <w:i w:val="0"/>
                <w:iCs w:val="0"/>
                <w:color w:val="000000"/>
                <w:kern w:val="0"/>
                <w:sz w:val="16"/>
                <w:szCs w:val="16"/>
                <w:u w:val="none"/>
                <w:lang w:val="en-US" w:eastAsia="zh-CN" w:bidi="ar"/>
              </w:rPr>
              <w:t>本级</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272.89</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272.89</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272.89</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301</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01</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基本工资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501</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01</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工资奖金津补贴</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110.2</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110.2</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110.2</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301</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2</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津贴补贴</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501</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01</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工资奖金津补贴</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1.6</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1.6</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1.6</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30</w:t>
            </w:r>
            <w:r>
              <w:rPr>
                <w:rFonts w:hint="eastAsia" w:ascii="宋体" w:hAnsi="宋体" w:eastAsia="宋体" w:cs="宋体"/>
                <w:i w:val="0"/>
                <w:iCs w:val="0"/>
                <w:color w:val="000000"/>
                <w:kern w:val="0"/>
                <w:sz w:val="16"/>
                <w:szCs w:val="16"/>
                <w:u w:val="none"/>
                <w:lang w:val="en-US" w:eastAsia="zh-CN" w:bidi="ar"/>
              </w:rPr>
              <w:t>1</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3</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奖金</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502</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01</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工资奖金津补贴</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14.2</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sz w:val="16"/>
                <w:szCs w:val="16"/>
                <w:u w:val="none"/>
                <w:lang w:val="en-US" w:eastAsia="zh-CN"/>
              </w:rPr>
              <w:t>14.2</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sz w:val="16"/>
                <w:szCs w:val="16"/>
                <w:u w:val="none"/>
                <w:lang w:val="en-US" w:eastAsia="zh-CN"/>
              </w:rPr>
              <w:t>14.2</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301</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07</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绩效工资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505</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01</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工资福利支出</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4.65</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4.65</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4.65</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301</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08</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机关事业单位基本养老保险缴费</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501</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社会保障缴费</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0"/>
                <w:sz w:val="16"/>
                <w:szCs w:val="16"/>
                <w:u w:val="none"/>
                <w:lang w:val="en-US" w:eastAsia="zh-CN" w:bidi="ar"/>
              </w:rPr>
              <w:t>17.6</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0"/>
                <w:sz w:val="16"/>
                <w:szCs w:val="16"/>
                <w:u w:val="none"/>
                <w:lang w:val="en-US" w:eastAsia="zh-CN" w:bidi="ar"/>
              </w:rPr>
              <w:t>17.6</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0"/>
                <w:sz w:val="16"/>
                <w:szCs w:val="16"/>
                <w:u w:val="none"/>
                <w:lang w:val="en-US" w:eastAsia="zh-CN" w:bidi="ar"/>
              </w:rPr>
              <w:t>17.6</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2"/>
                <w:sz w:val="16"/>
                <w:szCs w:val="16"/>
                <w:u w:val="none"/>
                <w:lang w:val="en-US" w:eastAsia="zh-CN" w:bidi="ar-SA"/>
              </w:rPr>
              <w:t>301</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10</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职工基本医疗保险缴费</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501</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社会保障缴费</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0"/>
                <w:sz w:val="16"/>
                <w:szCs w:val="16"/>
                <w:u w:val="none"/>
                <w:lang w:val="en-US" w:eastAsia="zh-CN" w:bidi="ar"/>
              </w:rPr>
              <w:t>9.2</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0"/>
                <w:sz w:val="16"/>
                <w:szCs w:val="16"/>
                <w:u w:val="none"/>
                <w:lang w:val="en-US" w:eastAsia="zh-CN" w:bidi="ar"/>
              </w:rPr>
              <w:t>9.2</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0"/>
                <w:sz w:val="16"/>
                <w:szCs w:val="16"/>
                <w:u w:val="none"/>
                <w:lang w:val="en-US" w:eastAsia="zh-CN" w:bidi="ar"/>
              </w:rPr>
              <w:t>9.2</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2"/>
                <w:sz w:val="16"/>
                <w:szCs w:val="16"/>
                <w:u w:val="none"/>
                <w:lang w:val="en-US" w:eastAsia="zh-CN" w:bidi="ar-SA"/>
              </w:rPr>
              <w:t>301</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1</w:t>
            </w:r>
            <w:r>
              <w:rPr>
                <w:rFonts w:hint="eastAsia" w:ascii="宋体" w:hAnsi="宋体" w:eastAsia="宋体" w:cs="宋体"/>
                <w:i w:val="0"/>
                <w:iCs w:val="0"/>
                <w:color w:val="000000"/>
                <w:kern w:val="0"/>
                <w:sz w:val="16"/>
                <w:szCs w:val="16"/>
                <w:u w:val="none"/>
                <w:lang w:val="en-US" w:eastAsia="zh-CN" w:bidi="ar"/>
              </w:rPr>
              <w:t>2</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其他社会保障缴费</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501</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社会保障缴费</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0"/>
                <w:sz w:val="16"/>
                <w:szCs w:val="16"/>
                <w:u w:val="none"/>
                <w:lang w:val="en-US" w:eastAsia="zh-CN" w:bidi="ar"/>
              </w:rPr>
              <w:t>0.4</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0"/>
                <w:sz w:val="16"/>
                <w:szCs w:val="16"/>
                <w:u w:val="none"/>
                <w:lang w:val="en-US" w:eastAsia="zh-CN" w:bidi="ar"/>
              </w:rPr>
              <w:t>0.4</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0"/>
                <w:sz w:val="16"/>
                <w:szCs w:val="16"/>
                <w:u w:val="none"/>
                <w:lang w:val="en-US" w:eastAsia="zh-CN" w:bidi="ar"/>
              </w:rPr>
              <w:t>0.4</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301</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13</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住房公积金</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501</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03</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住房公积金</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0"/>
                <w:sz w:val="16"/>
                <w:szCs w:val="16"/>
                <w:u w:val="none"/>
                <w:lang w:val="en-US" w:eastAsia="zh-CN" w:bidi="ar"/>
              </w:rPr>
              <w:t>11</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0"/>
                <w:sz w:val="16"/>
                <w:szCs w:val="16"/>
                <w:u w:val="none"/>
                <w:lang w:val="en-US" w:eastAsia="zh-CN" w:bidi="ar"/>
              </w:rPr>
              <w:t>11</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0"/>
                <w:sz w:val="16"/>
                <w:szCs w:val="16"/>
                <w:u w:val="none"/>
                <w:lang w:val="en-US" w:eastAsia="zh-CN" w:bidi="ar"/>
              </w:rPr>
              <w:t>11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301</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99</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其他工资福利支出</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501</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01</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工资奖金津补贴</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0"/>
                <w:sz w:val="16"/>
                <w:szCs w:val="16"/>
                <w:u w:val="none"/>
                <w:lang w:val="en-US" w:eastAsia="zh-CN" w:bidi="ar"/>
              </w:rPr>
              <w:t>12.9</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0"/>
                <w:sz w:val="16"/>
                <w:szCs w:val="16"/>
                <w:u w:val="none"/>
                <w:lang w:val="en-US" w:eastAsia="zh-CN" w:bidi="ar"/>
              </w:rPr>
              <w:t>12.9</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0"/>
                <w:sz w:val="16"/>
                <w:szCs w:val="16"/>
                <w:u w:val="none"/>
                <w:lang w:val="en-US" w:eastAsia="zh-CN" w:bidi="ar"/>
              </w:rPr>
              <w:t>12.9</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302</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商品和服务支出</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502</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商品和服务支出</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2"/>
                <w:sz w:val="16"/>
                <w:szCs w:val="16"/>
                <w:u w:val="none"/>
                <w:lang w:val="en-US" w:eastAsia="zh-CN" w:bidi="ar-SA"/>
              </w:rPr>
              <w:t>22.94</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2"/>
                <w:sz w:val="16"/>
                <w:szCs w:val="16"/>
                <w:u w:val="none"/>
                <w:lang w:val="en-US" w:eastAsia="zh-CN" w:bidi="ar-SA"/>
              </w:rPr>
              <w:t>22.94</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2"/>
                <w:sz w:val="16"/>
                <w:szCs w:val="16"/>
                <w:u w:val="none"/>
                <w:lang w:val="en-US" w:eastAsia="zh-CN" w:bidi="ar-SA"/>
              </w:rPr>
              <w:t>22.94</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302</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01</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办公费</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505</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商品和服务支出</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2"/>
                <w:sz w:val="16"/>
                <w:szCs w:val="16"/>
                <w:u w:val="none"/>
                <w:lang w:val="en-US" w:eastAsia="zh-CN" w:bidi="ar-SA"/>
              </w:rPr>
              <w:t>22.00</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2"/>
                <w:sz w:val="16"/>
                <w:szCs w:val="16"/>
                <w:u w:val="none"/>
                <w:lang w:val="en-US" w:eastAsia="zh-CN" w:bidi="ar-SA"/>
              </w:rPr>
              <w:t>22.00</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2"/>
                <w:sz w:val="16"/>
                <w:szCs w:val="16"/>
                <w:u w:val="none"/>
                <w:lang w:val="en-US" w:eastAsia="zh-CN" w:bidi="ar-SA"/>
              </w:rPr>
              <w:t>22.00</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302</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06</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电费</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505</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商品和服务支出</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1.10</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1.10</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kern w:val="0"/>
                <w:sz w:val="16"/>
                <w:szCs w:val="16"/>
                <w:u w:val="none"/>
                <w:lang w:val="en-US" w:eastAsia="zh-CN" w:bidi="ar"/>
              </w:rPr>
              <w:t>1.10</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302</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05</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水费</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505</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商品和服务支出</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0.90</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0.90</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kern w:val="0"/>
                <w:sz w:val="16"/>
                <w:szCs w:val="16"/>
                <w:u w:val="none"/>
                <w:lang w:val="en-US" w:eastAsia="zh-CN" w:bidi="ar"/>
              </w:rPr>
              <w:t>0.90</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302</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07</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邮电费</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505</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02</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lang w:val="en-US" w:eastAsia="zh-CN"/>
              </w:rPr>
            </w:pPr>
            <w:r>
              <w:rPr>
                <w:rFonts w:ascii="宋体" w:hAnsi="宋体" w:eastAsia="宋体" w:cs="宋体"/>
                <w:i w:val="0"/>
                <w:iCs w:val="0"/>
                <w:color w:val="000000"/>
                <w:kern w:val="0"/>
                <w:sz w:val="16"/>
                <w:szCs w:val="16"/>
                <w:u w:val="none"/>
                <w:lang w:val="en-US" w:eastAsia="zh-CN" w:bidi="ar"/>
              </w:rPr>
              <w:t>商品和服务支出</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1.2</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1.2</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1.2</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302</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99</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其他商品和服务支出</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505</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02</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lang w:val="en-US" w:eastAsia="zh-CN"/>
              </w:rPr>
            </w:pPr>
            <w:r>
              <w:rPr>
                <w:rFonts w:ascii="宋体" w:hAnsi="宋体" w:eastAsia="宋体" w:cs="宋体"/>
                <w:i w:val="0"/>
                <w:iCs w:val="0"/>
                <w:color w:val="000000"/>
                <w:kern w:val="0"/>
                <w:sz w:val="16"/>
                <w:szCs w:val="16"/>
                <w:u w:val="none"/>
                <w:lang w:val="en-US" w:eastAsia="zh-CN" w:bidi="ar"/>
              </w:rPr>
              <w:t>商品和服务支出</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11.2</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11.2</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11.2</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eastAsia="宋体" w:cs="宋体"/>
                <w:i w:val="0"/>
                <w:iCs w:val="0"/>
                <w:color w:val="000000"/>
                <w:kern w:val="0"/>
                <w:sz w:val="16"/>
                <w:szCs w:val="16"/>
                <w:u w:val="none"/>
                <w:lang w:val="en-US" w:eastAsia="zh-CN" w:bidi="ar"/>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sz w:val="16"/>
                <w:szCs w:val="16"/>
                <w:u w:val="none"/>
                <w:lang w:val="en-US" w:eastAsia="zh-CN"/>
              </w:rPr>
              <w:t>302</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sz w:val="16"/>
                <w:szCs w:val="16"/>
                <w:u w:val="none"/>
                <w:lang w:val="en-US" w:eastAsia="zh-CN"/>
              </w:rPr>
              <w:t>17</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sz w:val="16"/>
                <w:szCs w:val="16"/>
                <w:u w:val="none"/>
                <w:lang w:val="en-US" w:eastAsia="zh-CN"/>
              </w:rPr>
              <w:t>公务接待费</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sz w:val="16"/>
                <w:szCs w:val="16"/>
                <w:u w:val="none"/>
                <w:lang w:val="en-US" w:eastAsia="zh-CN"/>
              </w:rPr>
              <w:t>502</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sz w:val="16"/>
                <w:szCs w:val="16"/>
                <w:u w:val="none"/>
                <w:lang w:val="en-US" w:eastAsia="zh-CN"/>
              </w:rPr>
              <w:t>06</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sz w:val="16"/>
                <w:szCs w:val="16"/>
                <w:u w:val="none"/>
                <w:lang w:val="en-US" w:eastAsia="zh-CN"/>
              </w:rPr>
              <w:t>公务接待费</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sz w:val="16"/>
                <w:szCs w:val="16"/>
                <w:u w:val="none"/>
                <w:lang w:val="en-US" w:eastAsia="zh-CN"/>
              </w:rPr>
              <w:t>0.30</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sz w:val="16"/>
                <w:szCs w:val="16"/>
                <w:u w:val="none"/>
                <w:lang w:val="en-US" w:eastAsia="zh-CN"/>
              </w:rPr>
              <w:t>0.30</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sz w:val="16"/>
                <w:szCs w:val="16"/>
                <w:u w:val="none"/>
                <w:lang w:val="en-US" w:eastAsia="zh-CN"/>
              </w:rPr>
              <w:t>0.30</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302</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28</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工会经费</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502</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01</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办公经费</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2.30</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2.30</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2.30</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302</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29</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福利费</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502</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01</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办公经费</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0"/>
                <w:sz w:val="16"/>
                <w:szCs w:val="16"/>
                <w:u w:val="none"/>
                <w:lang w:val="en-US" w:eastAsia="zh-CN" w:bidi="ar"/>
              </w:rPr>
              <w:t>2.70</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0"/>
                <w:sz w:val="16"/>
                <w:szCs w:val="16"/>
                <w:u w:val="none"/>
                <w:lang w:val="en-US" w:eastAsia="zh-CN" w:bidi="ar"/>
              </w:rPr>
              <w:t>2.70</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0"/>
                <w:sz w:val="16"/>
                <w:szCs w:val="16"/>
                <w:u w:val="none"/>
                <w:lang w:val="en-US" w:eastAsia="zh-CN" w:bidi="ar"/>
              </w:rPr>
              <w:t>2.70</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302</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31</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公务用车运行维护费</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502</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08</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公务用车运行维护费</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1.60</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1.60</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1.60</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30</w:t>
            </w:r>
            <w:r>
              <w:rPr>
                <w:rFonts w:hint="eastAsia" w:ascii="宋体" w:hAnsi="宋体" w:eastAsia="宋体" w:cs="宋体"/>
                <w:i w:val="0"/>
                <w:iCs w:val="0"/>
                <w:color w:val="000000"/>
                <w:kern w:val="0"/>
                <w:sz w:val="16"/>
                <w:szCs w:val="16"/>
                <w:u w:val="none"/>
                <w:lang w:val="en-US" w:eastAsia="zh-CN" w:bidi="ar"/>
              </w:rPr>
              <w:t>2</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其他交通费用</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502</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办公经费</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1.2</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1.2</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1.2</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2"/>
                <w:sz w:val="16"/>
                <w:szCs w:val="16"/>
                <w:u w:val="none"/>
                <w:lang w:val="en-US" w:eastAsia="zh-CN" w:bidi="ar-SA"/>
              </w:rPr>
              <w:t>303</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2"/>
                <w:sz w:val="16"/>
                <w:szCs w:val="16"/>
                <w:u w:val="none"/>
                <w:lang w:val="en-US" w:eastAsia="zh-CN" w:bidi="ar-SA"/>
              </w:rPr>
              <w:t>06</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2"/>
                <w:sz w:val="16"/>
                <w:szCs w:val="16"/>
                <w:u w:val="none"/>
                <w:lang w:val="en-US" w:eastAsia="zh-CN" w:bidi="ar-SA"/>
              </w:rPr>
              <w:t>对个人家庭补助</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2"/>
                <w:sz w:val="16"/>
                <w:szCs w:val="16"/>
                <w:u w:val="none"/>
                <w:lang w:val="en-US" w:eastAsia="zh-CN" w:bidi="ar-SA"/>
              </w:rPr>
              <w:t>509</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2"/>
                <w:sz w:val="16"/>
                <w:szCs w:val="16"/>
                <w:u w:val="none"/>
                <w:lang w:val="en-US" w:eastAsia="zh-CN" w:bidi="ar-SA"/>
              </w:rPr>
              <w:t>12.10</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2"/>
                <w:sz w:val="16"/>
                <w:szCs w:val="16"/>
                <w:u w:val="none"/>
                <w:lang w:val="en-US" w:eastAsia="zh-CN" w:bidi="ar-SA"/>
              </w:rPr>
              <w:t>12.10</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2"/>
                <w:sz w:val="16"/>
                <w:szCs w:val="16"/>
                <w:u w:val="none"/>
                <w:lang w:val="en-US" w:eastAsia="zh-CN" w:bidi="ar-SA"/>
              </w:rPr>
              <w:t>12.10</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303</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02</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退休费</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509</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05</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离退休费</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w:t>
            </w:r>
            <w:r>
              <w:rPr>
                <w:rFonts w:hint="eastAsia" w:ascii="宋体" w:hAnsi="宋体" w:cs="宋体"/>
                <w:i w:val="0"/>
                <w:iCs w:val="0"/>
                <w:color w:val="000000"/>
                <w:kern w:val="0"/>
                <w:sz w:val="16"/>
                <w:szCs w:val="16"/>
                <w:u w:val="none"/>
                <w:lang w:val="en-US" w:eastAsia="zh-CN" w:bidi="ar"/>
              </w:rPr>
              <w:t>20</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w:t>
            </w:r>
            <w:r>
              <w:rPr>
                <w:rFonts w:hint="eastAsia" w:ascii="宋体" w:hAnsi="宋体" w:cs="宋体"/>
                <w:i w:val="0"/>
                <w:iCs w:val="0"/>
                <w:color w:val="000000"/>
                <w:kern w:val="0"/>
                <w:sz w:val="16"/>
                <w:szCs w:val="16"/>
                <w:u w:val="none"/>
                <w:lang w:val="en-US" w:eastAsia="zh-CN" w:bidi="ar"/>
              </w:rPr>
              <w:t>20</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w:t>
            </w:r>
            <w:r>
              <w:rPr>
                <w:rFonts w:hint="eastAsia" w:ascii="宋体" w:hAnsi="宋体" w:cs="宋体"/>
                <w:i w:val="0"/>
                <w:iCs w:val="0"/>
                <w:color w:val="000000"/>
                <w:kern w:val="0"/>
                <w:sz w:val="16"/>
                <w:szCs w:val="16"/>
                <w:u w:val="none"/>
                <w:lang w:val="en-US" w:eastAsia="zh-CN" w:bidi="ar"/>
              </w:rPr>
              <w:t>20</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303</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05</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生活补助</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509</w:t>
            </w: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01</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社会福利和救助</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1.40</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1.40</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1.40</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w:t>
            </w:r>
            <w:r>
              <w:rPr>
                <w:rFonts w:hint="eastAsia" w:ascii="宋体" w:hAnsi="宋体" w:eastAsia="宋体" w:cs="宋体"/>
                <w:i w:val="0"/>
                <w:iCs w:val="0"/>
                <w:color w:val="000000"/>
                <w:kern w:val="0"/>
                <w:sz w:val="16"/>
                <w:szCs w:val="16"/>
                <w:u w:val="none"/>
                <w:lang w:val="en-US" w:eastAsia="zh-CN" w:bidi="ar"/>
              </w:rPr>
              <w:t>0</w:t>
            </w:r>
          </w:p>
        </w:tc>
      </w:tr>
    </w:tbl>
    <w:p>
      <w:pPr>
        <w:adjustRightInd w:val="0"/>
        <w:snapToGrid w:val="0"/>
        <w:spacing w:line="360" w:lineRule="auto"/>
        <w:jc w:val="both"/>
        <w:rPr>
          <w:rFonts w:hint="eastAsia" w:ascii="黑体" w:hAnsi="黑体" w:eastAsia="黑体"/>
          <w:sz w:val="32"/>
          <w:szCs w:val="32"/>
        </w:rPr>
      </w:pPr>
    </w:p>
    <w:p>
      <w:pPr>
        <w:adjustRightInd w:val="0"/>
        <w:snapToGrid w:val="0"/>
        <w:spacing w:line="360" w:lineRule="auto"/>
        <w:jc w:val="both"/>
        <w:rPr>
          <w:rFonts w:hint="eastAsia" w:ascii="黑体" w:hAnsi="黑体" w:eastAsia="黑体"/>
          <w:sz w:val="32"/>
          <w:szCs w:val="32"/>
        </w:rPr>
      </w:pPr>
    </w:p>
    <w:tbl>
      <w:tblPr>
        <w:tblStyle w:val="5"/>
        <w:tblpPr w:leftFromText="180" w:rightFromText="180" w:vertAnchor="text" w:horzAnchor="page" w:tblpX="3615" w:tblpY="152"/>
        <w:tblOverlap w:val="never"/>
        <w:tblW w:w="107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10"/>
        <w:gridCol w:w="1660"/>
        <w:gridCol w:w="1660"/>
        <w:gridCol w:w="1660"/>
        <w:gridCol w:w="1660"/>
        <w:gridCol w:w="1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0710"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ascii="宋体" w:hAnsi="宋体" w:eastAsia="宋体" w:cs="宋体"/>
                <w:b/>
                <w:bCs/>
                <w:i w:val="0"/>
                <w:iCs w:val="0"/>
                <w:color w:val="000000"/>
                <w:kern w:val="0"/>
                <w:sz w:val="38"/>
                <w:szCs w:val="38"/>
                <w:u w:val="none"/>
                <w:lang w:val="en-US" w:eastAsia="zh-CN" w:bidi="ar"/>
              </w:rPr>
            </w:pPr>
            <w:r>
              <w:rPr>
                <w:rFonts w:ascii="宋体" w:hAnsi="宋体" w:eastAsia="宋体" w:cs="宋体"/>
                <w:b/>
                <w:bCs/>
                <w:i w:val="0"/>
                <w:iCs w:val="0"/>
                <w:color w:val="000000"/>
                <w:kern w:val="0"/>
                <w:sz w:val="38"/>
                <w:szCs w:val="38"/>
                <w:u w:val="none"/>
                <w:lang w:val="en-US" w:eastAsia="zh-CN" w:bidi="ar"/>
              </w:rPr>
              <w:t>一般公共预算“三公”经费支出</w:t>
            </w:r>
            <w:r>
              <w:rPr>
                <w:rFonts w:hint="eastAsia" w:ascii="宋体" w:hAnsi="宋体" w:eastAsia="宋体" w:cs="宋体"/>
                <w:b/>
                <w:bCs/>
                <w:i w:val="0"/>
                <w:iCs w:val="0"/>
                <w:color w:val="000000"/>
                <w:kern w:val="0"/>
                <w:sz w:val="38"/>
                <w:szCs w:val="38"/>
                <w:u w:val="none"/>
                <w:lang w:val="en-US" w:eastAsia="zh-CN" w:bidi="ar"/>
              </w:rPr>
              <w:t>情况</w:t>
            </w:r>
            <w:r>
              <w:rPr>
                <w:rFonts w:ascii="宋体" w:hAnsi="宋体" w:eastAsia="宋体" w:cs="宋体"/>
                <w:b/>
                <w:bCs/>
                <w:i w:val="0"/>
                <w:iCs w:val="0"/>
                <w:color w:val="000000"/>
                <w:kern w:val="0"/>
                <w:sz w:val="38"/>
                <w:szCs w:val="38"/>
                <w:u w:val="none"/>
                <w:lang w:val="en-US" w:eastAsia="zh-CN" w:bidi="ar"/>
              </w:rPr>
              <w:t>表</w:t>
            </w:r>
          </w:p>
          <w:p>
            <w:pPr>
              <w:keepNext w:val="0"/>
              <w:keepLines w:val="0"/>
              <w:widowControl/>
              <w:suppressLineNumbers w:val="0"/>
              <w:jc w:val="center"/>
              <w:textAlignment w:val="center"/>
              <w:rPr>
                <w:rFonts w:ascii="宋体" w:hAnsi="宋体" w:eastAsia="宋体" w:cs="宋体"/>
                <w:b/>
                <w:bCs/>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部门/单位：</w:t>
            </w:r>
            <w:r>
              <w:rPr>
                <w:rFonts w:hint="eastAsia" w:ascii="宋体" w:hAnsi="宋体" w:eastAsia="宋体" w:cs="宋体"/>
                <w:i w:val="0"/>
                <w:iCs w:val="0"/>
                <w:color w:val="000000"/>
                <w:kern w:val="0"/>
                <w:sz w:val="18"/>
                <w:szCs w:val="18"/>
                <w:u w:val="none"/>
                <w:lang w:val="en-US" w:eastAsia="zh-CN" w:bidi="ar"/>
              </w:rPr>
              <w:t>唐河县交通局</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4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“三公”经费合计</w:t>
            </w:r>
          </w:p>
        </w:tc>
        <w:tc>
          <w:tcPr>
            <w:tcW w:w="1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因公出国（境）费</w:t>
            </w:r>
          </w:p>
        </w:tc>
        <w:tc>
          <w:tcPr>
            <w:tcW w:w="498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公务用车购置及运行费</w:t>
            </w:r>
          </w:p>
        </w:tc>
        <w:tc>
          <w:tcPr>
            <w:tcW w:w="1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4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公务用车购置费</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公务用车运行费</w:t>
            </w:r>
          </w:p>
        </w:tc>
        <w:tc>
          <w:tcPr>
            <w:tcW w:w="1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1.9</w:t>
            </w:r>
            <w:r>
              <w:rPr>
                <w:rFonts w:hint="eastAsia" w:ascii="宋体" w:hAnsi="宋体" w:eastAsia="宋体" w:cs="宋体"/>
                <w:i w:val="0"/>
                <w:iCs w:val="0"/>
                <w:color w:val="000000"/>
                <w:kern w:val="0"/>
                <w:sz w:val="18"/>
                <w:szCs w:val="18"/>
                <w:u w:val="none"/>
                <w:lang w:val="en-US" w:eastAsia="zh-CN" w:bidi="ar"/>
              </w:rPr>
              <w:t>0</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0.00</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1.9</w:t>
            </w:r>
            <w:r>
              <w:rPr>
                <w:rFonts w:hint="eastAsia" w:ascii="宋体" w:hAnsi="宋体" w:eastAsia="宋体" w:cs="宋体"/>
                <w:i w:val="0"/>
                <w:iCs w:val="0"/>
                <w:color w:val="000000"/>
                <w:kern w:val="0"/>
                <w:sz w:val="18"/>
                <w:szCs w:val="18"/>
                <w:u w:val="none"/>
                <w:lang w:val="en-US" w:eastAsia="zh-CN" w:bidi="ar"/>
              </w:rPr>
              <w:t>0</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1.6</w:t>
            </w:r>
            <w:r>
              <w:rPr>
                <w:rFonts w:hint="eastAsia" w:ascii="宋体" w:hAnsi="宋体" w:eastAsia="宋体" w:cs="宋体"/>
                <w:i w:val="0"/>
                <w:iCs w:val="0"/>
                <w:color w:val="000000"/>
                <w:kern w:val="0"/>
                <w:sz w:val="18"/>
                <w:szCs w:val="18"/>
                <w:u w:val="none"/>
                <w:lang w:val="en-US" w:eastAsia="zh-CN" w:bidi="ar"/>
              </w:rPr>
              <w:t>0</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0.3</w:t>
            </w:r>
            <w:r>
              <w:rPr>
                <w:rFonts w:hint="eastAsia" w:ascii="宋体" w:hAnsi="宋体" w:eastAsia="宋体" w:cs="宋体"/>
                <w:i w:val="0"/>
                <w:iCs w:val="0"/>
                <w:color w:val="000000"/>
                <w:kern w:val="0"/>
                <w:sz w:val="18"/>
                <w:szCs w:val="18"/>
                <w:u w:val="none"/>
                <w:lang w:val="en-US" w:eastAsia="zh-CN" w:bidi="ar"/>
              </w:rPr>
              <w:t>0</w:t>
            </w:r>
          </w:p>
        </w:tc>
      </w:tr>
    </w:tbl>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240" w:lineRule="auto"/>
        <w:jc w:val="center"/>
        <w:rPr>
          <w:rFonts w:hint="eastAsia" w:ascii="黑体" w:hAnsi="黑体" w:eastAsia="黑体"/>
          <w:sz w:val="32"/>
          <w:szCs w:val="32"/>
        </w:rPr>
      </w:pPr>
    </w:p>
    <w:p>
      <w:pPr>
        <w:adjustRightInd w:val="0"/>
        <w:snapToGrid w:val="0"/>
        <w:spacing w:line="240" w:lineRule="auto"/>
        <w:jc w:val="center"/>
        <w:rPr>
          <w:rFonts w:hint="eastAsia" w:ascii="黑体" w:hAnsi="黑体" w:eastAsia="黑体"/>
          <w:sz w:val="32"/>
          <w:szCs w:val="32"/>
        </w:rPr>
      </w:pPr>
    </w:p>
    <w:p>
      <w:pPr>
        <w:adjustRightInd w:val="0"/>
        <w:snapToGrid w:val="0"/>
        <w:spacing w:line="24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tbl>
      <w:tblPr>
        <w:tblStyle w:val="5"/>
        <w:tblpPr w:leftFromText="180" w:rightFromText="180" w:vertAnchor="text" w:horzAnchor="page" w:tblpX="3015" w:tblpY="30"/>
        <w:tblOverlap w:val="never"/>
        <w:tblW w:w="118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75"/>
        <w:gridCol w:w="1530"/>
        <w:gridCol w:w="936"/>
        <w:gridCol w:w="1264"/>
        <w:gridCol w:w="2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11886" w:type="dxa"/>
            <w:gridSpan w:val="5"/>
            <w:tcBorders>
              <w:top w:val="nil"/>
              <w:left w:val="nil"/>
              <w:bottom w:val="nil"/>
              <w:right w:val="nil"/>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政府性基金预算支出情况表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597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部门/单位：唐河县交通运输局</w:t>
            </w:r>
          </w:p>
        </w:tc>
        <w:tc>
          <w:tcPr>
            <w:tcW w:w="153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3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6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181" w:type="dxa"/>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5975" w:type="dxa"/>
            <w:vMerge w:val="restart"/>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4381"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975" w:type="dxa"/>
            <w:vMerge w:val="continue"/>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93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26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181"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97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5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          计</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2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75" w:type="dxa"/>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备注：我局2022年无政府性基金预算支出。</w:t>
            </w:r>
          </w:p>
        </w:tc>
        <w:tc>
          <w:tcPr>
            <w:tcW w:w="1530"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936"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1264"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2181"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bl>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tbl>
      <w:tblPr>
        <w:tblStyle w:val="5"/>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17"/>
        <w:gridCol w:w="1298"/>
        <w:gridCol w:w="987"/>
        <w:gridCol w:w="666"/>
        <w:gridCol w:w="962"/>
        <w:gridCol w:w="903"/>
        <w:gridCol w:w="987"/>
        <w:gridCol w:w="818"/>
        <w:gridCol w:w="903"/>
        <w:gridCol w:w="987"/>
        <w:gridCol w:w="987"/>
        <w:gridCol w:w="1156"/>
        <w:gridCol w:w="1156"/>
        <w:gridCol w:w="649"/>
        <w:gridCol w:w="818"/>
        <w:gridCol w:w="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4394" w:type="dxa"/>
            <w:gridSpan w:val="15"/>
            <w:tcBorders>
              <w:top w:val="nil"/>
              <w:left w:val="nil"/>
              <w:bottom w:val="nil"/>
              <w:right w:val="nil"/>
            </w:tcBorders>
            <w:noWrap w:val="0"/>
            <w:vAlign w:val="center"/>
          </w:tcPr>
          <w:p>
            <w:pPr>
              <w:jc w:val="right"/>
              <w:rPr>
                <w:rFonts w:hint="eastAsia" w:ascii="宋体" w:hAnsi="宋体" w:eastAsia="宋体" w:cs="宋体"/>
                <w:i w:val="0"/>
                <w:iCs w:val="0"/>
                <w:color w:val="000000"/>
                <w:sz w:val="18"/>
                <w:szCs w:val="18"/>
                <w:u w:val="none"/>
              </w:rPr>
            </w:pPr>
          </w:p>
        </w:tc>
        <w:tc>
          <w:tcPr>
            <w:tcW w:w="818"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4394" w:type="dxa"/>
            <w:gridSpan w:val="15"/>
            <w:tcBorders>
              <w:top w:val="nil"/>
              <w:left w:val="nil"/>
              <w:bottom w:val="nil"/>
              <w:right w:val="nil"/>
            </w:tcBorders>
            <w:noWrap w:val="0"/>
            <w:vAlign w:val="center"/>
          </w:tcPr>
          <w:p>
            <w:pPr>
              <w:keepNext w:val="0"/>
              <w:keepLines w:val="0"/>
              <w:widowControl/>
              <w:suppressLineNumbers w:val="0"/>
              <w:jc w:val="center"/>
              <w:textAlignment w:val="center"/>
              <w:rPr>
                <w:rFonts w:ascii="宋体" w:hAnsi="宋体" w:eastAsia="宋体" w:cs="宋体"/>
                <w:b/>
                <w:bCs/>
                <w:i w:val="0"/>
                <w:iCs w:val="0"/>
                <w:color w:val="000000"/>
                <w:kern w:val="0"/>
                <w:sz w:val="38"/>
                <w:szCs w:val="38"/>
                <w:u w:val="none"/>
                <w:lang w:val="en-US" w:eastAsia="zh-CN" w:bidi="ar"/>
              </w:rPr>
            </w:pPr>
          </w:p>
          <w:p>
            <w:pPr>
              <w:keepNext w:val="0"/>
              <w:keepLines w:val="0"/>
              <w:widowControl/>
              <w:suppressLineNumbers w:val="0"/>
              <w:jc w:val="center"/>
              <w:textAlignment w:val="center"/>
              <w:rPr>
                <w:rFonts w:ascii="宋体" w:hAnsi="宋体" w:eastAsia="宋体" w:cs="宋体"/>
                <w:b/>
                <w:bCs/>
                <w:i w:val="0"/>
                <w:iCs w:val="0"/>
                <w:color w:val="000000"/>
                <w:kern w:val="0"/>
                <w:sz w:val="38"/>
                <w:szCs w:val="38"/>
                <w:u w:val="none"/>
                <w:lang w:val="en-US" w:eastAsia="zh-CN" w:bidi="ar"/>
              </w:rPr>
            </w:pPr>
          </w:p>
          <w:p>
            <w:pPr>
              <w:keepNext w:val="0"/>
              <w:keepLines w:val="0"/>
              <w:widowControl/>
              <w:suppressLineNumbers w:val="0"/>
              <w:jc w:val="center"/>
              <w:textAlignment w:val="center"/>
              <w:rPr>
                <w:rFonts w:ascii="宋体" w:hAnsi="宋体" w:eastAsia="宋体" w:cs="宋体"/>
                <w:b/>
                <w:bCs/>
                <w:i w:val="0"/>
                <w:iCs w:val="0"/>
                <w:color w:val="000000"/>
                <w:kern w:val="0"/>
                <w:sz w:val="38"/>
                <w:szCs w:val="38"/>
                <w:u w:val="none"/>
                <w:lang w:val="en-US" w:eastAsia="zh-CN" w:bidi="ar"/>
              </w:rPr>
            </w:pPr>
          </w:p>
          <w:p>
            <w:pPr>
              <w:keepNext w:val="0"/>
              <w:keepLines w:val="0"/>
              <w:widowControl/>
              <w:suppressLineNumbers w:val="0"/>
              <w:jc w:val="center"/>
              <w:textAlignment w:val="center"/>
              <w:rPr>
                <w:rFonts w:ascii="宋体" w:hAnsi="宋体" w:eastAsia="宋体" w:cs="宋体"/>
                <w:b/>
                <w:bCs/>
                <w:i w:val="0"/>
                <w:iCs w:val="0"/>
                <w:color w:val="000000"/>
                <w:kern w:val="0"/>
                <w:sz w:val="38"/>
                <w:szCs w:val="38"/>
                <w:u w:val="none"/>
                <w:lang w:val="en-US" w:eastAsia="zh-CN" w:bidi="ar"/>
              </w:rPr>
            </w:pPr>
          </w:p>
          <w:p>
            <w:pPr>
              <w:keepNext w:val="0"/>
              <w:keepLines w:val="0"/>
              <w:widowControl/>
              <w:suppressLineNumbers w:val="0"/>
              <w:jc w:val="center"/>
              <w:textAlignment w:val="center"/>
              <w:rPr>
                <w:rFonts w:ascii="宋体" w:hAnsi="宋体" w:eastAsia="宋体" w:cs="宋体"/>
                <w:b/>
                <w:bCs/>
                <w:i w:val="0"/>
                <w:iCs w:val="0"/>
                <w:color w:val="000000"/>
                <w:kern w:val="0"/>
                <w:sz w:val="44"/>
                <w:szCs w:val="44"/>
                <w:u w:val="none"/>
                <w:lang w:val="en-US" w:eastAsia="zh-CN" w:bidi="ar"/>
              </w:rPr>
            </w:pPr>
            <w:r>
              <w:rPr>
                <w:rFonts w:ascii="宋体" w:hAnsi="宋体" w:eastAsia="宋体" w:cs="宋体"/>
                <w:b/>
                <w:bCs/>
                <w:i w:val="0"/>
                <w:iCs w:val="0"/>
                <w:color w:val="000000"/>
                <w:kern w:val="0"/>
                <w:sz w:val="44"/>
                <w:szCs w:val="44"/>
                <w:u w:val="none"/>
                <w:lang w:val="en-US" w:eastAsia="zh-CN" w:bidi="ar"/>
              </w:rPr>
              <w:t>项目支出表</w:t>
            </w:r>
          </w:p>
          <w:p>
            <w:pPr>
              <w:keepNext w:val="0"/>
              <w:keepLines w:val="0"/>
              <w:widowControl/>
              <w:suppressLineNumbers w:val="0"/>
              <w:jc w:val="center"/>
              <w:textAlignment w:val="center"/>
              <w:rPr>
                <w:rFonts w:ascii="宋体" w:hAnsi="宋体" w:eastAsia="宋体" w:cs="宋体"/>
                <w:b/>
                <w:bCs/>
                <w:i w:val="0"/>
                <w:iCs w:val="0"/>
                <w:color w:val="000000"/>
                <w:kern w:val="0"/>
                <w:sz w:val="11"/>
                <w:szCs w:val="11"/>
                <w:u w:val="none"/>
                <w:lang w:val="en-US" w:eastAsia="zh-CN" w:bidi="ar"/>
              </w:rPr>
            </w:pPr>
          </w:p>
        </w:tc>
        <w:tc>
          <w:tcPr>
            <w:tcW w:w="818"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17" w:type="dxa"/>
            <w:tcBorders>
              <w:top w:val="nil"/>
              <w:left w:val="nil"/>
              <w:bottom w:val="nil"/>
              <w:right w:val="nil"/>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w:t>
            </w:r>
          </w:p>
        </w:tc>
        <w:tc>
          <w:tcPr>
            <w:tcW w:w="1298" w:type="dxa"/>
            <w:tcBorders>
              <w:top w:val="nil"/>
              <w:left w:val="nil"/>
              <w:bottom w:val="nil"/>
              <w:right w:val="nil"/>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唐河县交通局</w:t>
            </w:r>
          </w:p>
        </w:tc>
        <w:tc>
          <w:tcPr>
            <w:tcW w:w="987" w:type="dxa"/>
            <w:tcBorders>
              <w:top w:val="nil"/>
              <w:left w:val="nil"/>
              <w:bottom w:val="nil"/>
              <w:right w:val="nil"/>
            </w:tcBorders>
            <w:noWrap w:val="0"/>
            <w:vAlign w:val="center"/>
          </w:tcPr>
          <w:p>
            <w:pPr>
              <w:rPr>
                <w:rFonts w:hint="eastAsia" w:ascii="宋体" w:hAnsi="宋体" w:eastAsia="宋体" w:cs="宋体"/>
                <w:i w:val="0"/>
                <w:iCs w:val="0"/>
                <w:color w:val="000000"/>
                <w:sz w:val="18"/>
                <w:szCs w:val="18"/>
                <w:u w:val="none"/>
              </w:rPr>
            </w:pPr>
          </w:p>
        </w:tc>
        <w:tc>
          <w:tcPr>
            <w:tcW w:w="666" w:type="dxa"/>
            <w:tcBorders>
              <w:top w:val="nil"/>
              <w:left w:val="nil"/>
              <w:bottom w:val="nil"/>
              <w:right w:val="nil"/>
            </w:tcBorders>
            <w:noWrap w:val="0"/>
            <w:vAlign w:val="center"/>
          </w:tcPr>
          <w:p>
            <w:pPr>
              <w:rPr>
                <w:rFonts w:hint="eastAsia" w:ascii="宋体" w:hAnsi="宋体" w:eastAsia="宋体" w:cs="宋体"/>
                <w:i w:val="0"/>
                <w:iCs w:val="0"/>
                <w:color w:val="000000"/>
                <w:sz w:val="18"/>
                <w:szCs w:val="18"/>
                <w:u w:val="none"/>
              </w:rPr>
            </w:pPr>
          </w:p>
        </w:tc>
        <w:tc>
          <w:tcPr>
            <w:tcW w:w="962" w:type="dxa"/>
            <w:tcBorders>
              <w:top w:val="nil"/>
              <w:left w:val="nil"/>
              <w:bottom w:val="nil"/>
              <w:right w:val="nil"/>
            </w:tcBorders>
            <w:noWrap w:val="0"/>
            <w:vAlign w:val="center"/>
          </w:tcPr>
          <w:p>
            <w:pPr>
              <w:rPr>
                <w:rFonts w:hint="eastAsia" w:ascii="宋体" w:hAnsi="宋体" w:eastAsia="宋体" w:cs="宋体"/>
                <w:i w:val="0"/>
                <w:iCs w:val="0"/>
                <w:color w:val="000000"/>
                <w:sz w:val="18"/>
                <w:szCs w:val="18"/>
                <w:u w:val="none"/>
              </w:rPr>
            </w:pPr>
          </w:p>
        </w:tc>
        <w:tc>
          <w:tcPr>
            <w:tcW w:w="903" w:type="dxa"/>
            <w:tcBorders>
              <w:top w:val="nil"/>
              <w:left w:val="nil"/>
              <w:bottom w:val="nil"/>
              <w:right w:val="nil"/>
            </w:tcBorders>
            <w:noWrap w:val="0"/>
            <w:vAlign w:val="center"/>
          </w:tcPr>
          <w:p>
            <w:pPr>
              <w:rPr>
                <w:rFonts w:hint="eastAsia" w:ascii="宋体" w:hAnsi="宋体" w:eastAsia="宋体" w:cs="宋体"/>
                <w:i w:val="0"/>
                <w:iCs w:val="0"/>
                <w:color w:val="000000"/>
                <w:sz w:val="18"/>
                <w:szCs w:val="18"/>
                <w:u w:val="none"/>
              </w:rPr>
            </w:pPr>
          </w:p>
        </w:tc>
        <w:tc>
          <w:tcPr>
            <w:tcW w:w="987" w:type="dxa"/>
            <w:tcBorders>
              <w:top w:val="nil"/>
              <w:left w:val="nil"/>
              <w:bottom w:val="nil"/>
              <w:right w:val="nil"/>
            </w:tcBorders>
            <w:noWrap w:val="0"/>
            <w:vAlign w:val="center"/>
          </w:tcPr>
          <w:p>
            <w:pPr>
              <w:rPr>
                <w:rFonts w:hint="eastAsia" w:ascii="宋体" w:hAnsi="宋体" w:eastAsia="宋体" w:cs="宋体"/>
                <w:i w:val="0"/>
                <w:iCs w:val="0"/>
                <w:color w:val="000000"/>
                <w:sz w:val="18"/>
                <w:szCs w:val="18"/>
                <w:u w:val="none"/>
              </w:rPr>
            </w:pPr>
          </w:p>
        </w:tc>
        <w:tc>
          <w:tcPr>
            <w:tcW w:w="818" w:type="dxa"/>
            <w:tcBorders>
              <w:top w:val="nil"/>
              <w:left w:val="nil"/>
              <w:bottom w:val="nil"/>
              <w:right w:val="nil"/>
            </w:tcBorders>
            <w:noWrap w:val="0"/>
            <w:vAlign w:val="center"/>
          </w:tcPr>
          <w:p>
            <w:pPr>
              <w:rPr>
                <w:rFonts w:hint="eastAsia" w:ascii="宋体" w:hAnsi="宋体" w:eastAsia="宋体" w:cs="宋体"/>
                <w:i w:val="0"/>
                <w:iCs w:val="0"/>
                <w:color w:val="000000"/>
                <w:sz w:val="18"/>
                <w:szCs w:val="18"/>
                <w:u w:val="none"/>
              </w:rPr>
            </w:pPr>
          </w:p>
        </w:tc>
        <w:tc>
          <w:tcPr>
            <w:tcW w:w="903" w:type="dxa"/>
            <w:tcBorders>
              <w:top w:val="nil"/>
              <w:left w:val="nil"/>
              <w:bottom w:val="nil"/>
              <w:right w:val="nil"/>
            </w:tcBorders>
            <w:noWrap w:val="0"/>
            <w:vAlign w:val="center"/>
          </w:tcPr>
          <w:p>
            <w:pPr>
              <w:rPr>
                <w:rFonts w:hint="eastAsia" w:ascii="宋体" w:hAnsi="宋体" w:eastAsia="宋体" w:cs="宋体"/>
                <w:i w:val="0"/>
                <w:iCs w:val="0"/>
                <w:color w:val="000000"/>
                <w:sz w:val="18"/>
                <w:szCs w:val="18"/>
                <w:u w:val="none"/>
              </w:rPr>
            </w:pPr>
          </w:p>
        </w:tc>
        <w:tc>
          <w:tcPr>
            <w:tcW w:w="987" w:type="dxa"/>
            <w:tcBorders>
              <w:top w:val="nil"/>
              <w:left w:val="nil"/>
              <w:bottom w:val="nil"/>
              <w:right w:val="nil"/>
            </w:tcBorders>
            <w:noWrap w:val="0"/>
            <w:vAlign w:val="center"/>
          </w:tcPr>
          <w:p>
            <w:pPr>
              <w:rPr>
                <w:rFonts w:hint="eastAsia" w:ascii="宋体" w:hAnsi="宋体" w:eastAsia="宋体" w:cs="宋体"/>
                <w:i w:val="0"/>
                <w:iCs w:val="0"/>
                <w:color w:val="000000"/>
                <w:sz w:val="18"/>
                <w:szCs w:val="18"/>
                <w:u w:val="none"/>
              </w:rPr>
            </w:pPr>
          </w:p>
        </w:tc>
        <w:tc>
          <w:tcPr>
            <w:tcW w:w="987" w:type="dxa"/>
            <w:tcBorders>
              <w:top w:val="nil"/>
              <w:left w:val="nil"/>
              <w:bottom w:val="nil"/>
              <w:right w:val="nil"/>
            </w:tcBorders>
            <w:noWrap w:val="0"/>
            <w:vAlign w:val="center"/>
          </w:tcPr>
          <w:p>
            <w:pPr>
              <w:rPr>
                <w:rFonts w:hint="eastAsia" w:ascii="宋体" w:hAnsi="宋体" w:eastAsia="宋体" w:cs="宋体"/>
                <w:i w:val="0"/>
                <w:iCs w:val="0"/>
                <w:color w:val="000000"/>
                <w:sz w:val="18"/>
                <w:szCs w:val="18"/>
                <w:u w:val="none"/>
              </w:rPr>
            </w:pPr>
          </w:p>
        </w:tc>
        <w:tc>
          <w:tcPr>
            <w:tcW w:w="1156"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1156"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2285" w:type="dxa"/>
            <w:gridSpan w:val="3"/>
            <w:tcBorders>
              <w:top w:val="nil"/>
              <w:left w:val="nil"/>
              <w:bottom w:val="nil"/>
              <w:right w:val="nil"/>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类型</w:t>
            </w:r>
          </w:p>
        </w:tc>
        <w:tc>
          <w:tcPr>
            <w:tcW w:w="129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9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项目单位</w:t>
            </w:r>
          </w:p>
        </w:tc>
        <w:tc>
          <w:tcPr>
            <w:tcW w:w="66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8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本年拨款</w:t>
            </w:r>
          </w:p>
        </w:tc>
        <w:tc>
          <w:tcPr>
            <w:tcW w:w="270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财政拨款结转结余</w:t>
            </w:r>
          </w:p>
        </w:tc>
        <w:tc>
          <w:tcPr>
            <w:tcW w:w="9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财政专户管理资金本年</w:t>
            </w:r>
          </w:p>
        </w:tc>
        <w:tc>
          <w:tcPr>
            <w:tcW w:w="1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财政专户管理资金结转</w:t>
            </w: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8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单位资金本年</w:t>
            </w:r>
          </w:p>
        </w:tc>
        <w:tc>
          <w:tcPr>
            <w:tcW w:w="8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1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政府性基金预算</w:t>
            </w: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政府性基金预算</w:t>
            </w: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9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房租收入返还</w:t>
            </w: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唐河县交通运输局</w:t>
            </w:r>
          </w:p>
        </w:tc>
        <w:tc>
          <w:tcPr>
            <w:tcW w:w="6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59.59</w:t>
            </w: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59.59</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  计</w:t>
            </w:r>
          </w:p>
        </w:tc>
        <w:tc>
          <w:tcPr>
            <w:tcW w:w="129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59.59</w:t>
            </w: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59.59</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bl>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sectPr>
          <w:pgSz w:w="16838" w:h="11906" w:orient="landscape"/>
          <w:pgMar w:top="215" w:right="873" w:bottom="57" w:left="873" w:header="851" w:footer="340" w:gutter="0"/>
          <w:cols w:space="720" w:num="1"/>
          <w:rtlGutter w:val="0"/>
          <w:docGrid w:type="lines" w:linePitch="312" w:charSpace="0"/>
        </w:sectPr>
      </w:pPr>
    </w:p>
    <w:p>
      <w:pPr>
        <w:pStyle w:val="12"/>
        <w:keepNext/>
        <w:keepLines/>
        <w:widowControl w:val="0"/>
        <w:shd w:val="clear" w:color="auto" w:fill="auto"/>
        <w:bidi w:val="0"/>
        <w:spacing w:before="0" w:after="220" w:line="240" w:lineRule="auto"/>
        <w:ind w:left="0" w:right="0" w:firstLine="0"/>
        <w:jc w:val="center"/>
      </w:pPr>
      <w:bookmarkStart w:id="1" w:name="bookmark84"/>
      <w:bookmarkStart w:id="2" w:name="bookmark83"/>
      <w:bookmarkStart w:id="3" w:name="bookmark82"/>
      <w:r>
        <w:rPr>
          <w:color w:val="000000"/>
          <w:spacing w:val="0"/>
          <w:w w:val="100"/>
          <w:position w:val="0"/>
        </w:rPr>
        <w:t>部门（单位）整体支出绩效目标申报表</w:t>
      </w:r>
      <w:bookmarkEnd w:id="1"/>
    </w:p>
    <w:p>
      <w:pPr>
        <w:pStyle w:val="12"/>
        <w:keepNext/>
        <w:keepLines/>
        <w:widowControl w:val="0"/>
        <w:shd w:val="clear" w:color="auto" w:fill="auto"/>
        <w:bidi w:val="0"/>
        <w:spacing w:before="0" w:after="60" w:line="240" w:lineRule="auto"/>
        <w:ind w:left="0" w:right="0" w:firstLine="0"/>
        <w:jc w:val="center"/>
      </w:pPr>
      <w:bookmarkStart w:id="4" w:name="bookmark85"/>
      <w:r>
        <w:rPr>
          <w:rFonts w:ascii="Times New Roman" w:hAnsi="Times New Roman" w:eastAsia="Times New Roman" w:cs="Times New Roman"/>
          <w:color w:val="000000"/>
          <w:spacing w:val="0"/>
          <w:w w:val="100"/>
          <w:position w:val="0"/>
        </w:rPr>
        <w:t>（2022</w:t>
      </w:r>
      <w:r>
        <w:rPr>
          <w:color w:val="000000"/>
          <w:spacing w:val="0"/>
          <w:w w:val="100"/>
          <w:position w:val="0"/>
        </w:rPr>
        <w:t>年度）</w:t>
      </w:r>
      <w:bookmarkEnd w:id="2"/>
      <w:bookmarkEnd w:id="3"/>
      <w:bookmarkEnd w:id="4"/>
    </w:p>
    <w:tbl>
      <w:tblPr>
        <w:tblStyle w:val="5"/>
        <w:tblW w:w="0" w:type="auto"/>
        <w:jc w:val="center"/>
        <w:tblLayout w:type="fixed"/>
        <w:tblCellMar>
          <w:top w:w="0" w:type="dxa"/>
          <w:left w:w="10" w:type="dxa"/>
          <w:bottom w:w="0" w:type="dxa"/>
          <w:right w:w="10" w:type="dxa"/>
        </w:tblCellMar>
      </w:tblPr>
      <w:tblGrid>
        <w:gridCol w:w="974"/>
        <w:gridCol w:w="1157"/>
        <w:gridCol w:w="1886"/>
        <w:gridCol w:w="758"/>
        <w:gridCol w:w="6019"/>
      </w:tblGrid>
      <w:tr>
        <w:tblPrEx>
          <w:tblCellMar>
            <w:top w:w="0" w:type="dxa"/>
            <w:left w:w="10" w:type="dxa"/>
            <w:bottom w:w="0" w:type="dxa"/>
            <w:right w:w="10" w:type="dxa"/>
          </w:tblCellMar>
        </w:tblPrEx>
        <w:trPr>
          <w:trHeight w:val="408" w:hRule="exact"/>
          <w:jc w:val="center"/>
        </w:trPr>
        <w:tc>
          <w:tcPr>
            <w:tcW w:w="0" w:type="auto"/>
            <w:gridSpan w:val="2"/>
            <w:tcBorders>
              <w:top w:val="single" w:color="auto" w:sz="4" w:space="0"/>
              <w:lef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部门（单位）名称</w:t>
            </w:r>
          </w:p>
        </w:tc>
        <w:tc>
          <w:tcPr>
            <w:tcW w:w="0" w:type="auto"/>
            <w:gridSpan w:val="3"/>
            <w:tcBorders>
              <w:top w:val="single" w:color="auto" w:sz="4" w:space="0"/>
              <w:left w:val="single" w:color="auto" w:sz="4" w:space="0"/>
              <w:righ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40" w:lineRule="auto"/>
              <w:ind w:left="0" w:right="0" w:firstLine="0"/>
              <w:jc w:val="center"/>
              <w:rPr>
                <w:rFonts w:hint="eastAsia" w:eastAsia="宋体"/>
                <w:sz w:val="20"/>
                <w:szCs w:val="20"/>
                <w:lang w:eastAsia="zh-CN"/>
              </w:rPr>
            </w:pPr>
            <w:r>
              <w:rPr>
                <w:rFonts w:hint="eastAsia"/>
                <w:b/>
                <w:bCs/>
                <w:color w:val="000000"/>
                <w:spacing w:val="0"/>
                <w:w w:val="100"/>
                <w:position w:val="0"/>
                <w:sz w:val="20"/>
                <w:szCs w:val="20"/>
                <w:lang w:val="en-US" w:eastAsia="zh-CN"/>
              </w:rPr>
              <w:t>唐河县交通局</w:t>
            </w:r>
          </w:p>
        </w:tc>
      </w:tr>
      <w:tr>
        <w:tblPrEx>
          <w:tblCellMar>
            <w:top w:w="0" w:type="dxa"/>
            <w:left w:w="10" w:type="dxa"/>
            <w:bottom w:w="0" w:type="dxa"/>
            <w:right w:w="10" w:type="dxa"/>
          </w:tblCellMar>
        </w:tblPrEx>
        <w:trPr>
          <w:trHeight w:val="3456" w:hRule="exact"/>
          <w:jc w:val="center"/>
        </w:trPr>
        <w:tc>
          <w:tcPr>
            <w:tcW w:w="0" w:type="auto"/>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54" w:lineRule="exact"/>
              <w:ind w:left="0" w:right="0" w:firstLine="0"/>
              <w:jc w:val="center"/>
              <w:rPr>
                <w:sz w:val="20"/>
                <w:szCs w:val="20"/>
              </w:rPr>
            </w:pPr>
            <w:r>
              <w:rPr>
                <w:color w:val="000000"/>
                <w:spacing w:val="0"/>
                <w:w w:val="100"/>
                <w:position w:val="0"/>
                <w:sz w:val="20"/>
                <w:szCs w:val="20"/>
              </w:rPr>
              <w:t>年度履职 目标</w:t>
            </w:r>
          </w:p>
        </w:tc>
        <w:tc>
          <w:tcPr>
            <w:tcW w:w="0" w:type="auto"/>
            <w:gridSpan w:val="4"/>
            <w:tcBorders>
              <w:top w:val="single" w:color="auto" w:sz="4" w:space="0"/>
              <w:left w:val="single" w:color="auto" w:sz="4" w:space="0"/>
              <w:right w:val="single" w:color="auto" w:sz="4" w:space="0"/>
            </w:tcBorders>
            <w:shd w:val="clear" w:color="auto" w:fill="FFFFFF"/>
            <w:noWrap w:val="0"/>
            <w:vAlign w:val="center"/>
          </w:tcPr>
          <w:p>
            <w:pPr>
              <w:ind w:firstLine="360" w:firstLineChars="200"/>
              <w:rPr>
                <w:rFonts w:hint="eastAsia" w:ascii="仿宋_GB2312" w:eastAsia="仿宋_GB2312"/>
                <w:sz w:val="32"/>
                <w:szCs w:val="32"/>
                <w:lang w:eastAsia="zh-CN"/>
              </w:rPr>
            </w:pPr>
            <w:r>
              <w:rPr>
                <w:rFonts w:hint="eastAsia" w:ascii="仿宋_GB2312" w:eastAsia="仿宋_GB2312"/>
                <w:sz w:val="18"/>
                <w:szCs w:val="18"/>
              </w:rPr>
              <w:t>贯彻执行国家、省、市、县有关交通运输工作的法律、法规和方针政策。承担涉及全县综合运输体系的规划协调工作，会同有关部门组织编制综合运输体系规划，指导全县交通运输枢纽规划和管理。组织拟订全县公路、水路等行业发展规划，并按有关政策和标准实施。参与拟订全县物流业发展规划并按有关政策和标准监督实施。指导全县公路、水路行业有关体制改革工作。承担全县道路、水路运输市场监管责任。承担全县水上交通安全监管责任。</w:t>
            </w:r>
            <w:r>
              <w:rPr>
                <w:rFonts w:hint="eastAsia" w:ascii="仿宋_GB2312" w:eastAsia="仿宋_GB2312" w:cs="Times New Roman"/>
                <w:sz w:val="18"/>
                <w:szCs w:val="18"/>
              </w:rPr>
              <w:t>负责提出全县公路、水路固定资产投资规模和方向以及国家、省、市、县财政性资金安排意见，按规定权限审批或核准国家、省、市、县规划内及年度计划规模内固定资产投资项目。负责公路、水运工程建设项目设计审批。承担全县公路、水路建设市场监管责任。指导全县公路、水路行业安全生产和应急管理工作。指导全县交通信息化建设，监测分析运行情况，开展相关统计工作，发布有关信息。指导全县公路、水路行业环境保护和节能减排工作。监督实施交通运输行业科技政策。组织重大科技研发，推动行业科技进步</w:t>
            </w:r>
            <w:r>
              <w:rPr>
                <w:rFonts w:hint="eastAsia" w:ascii="仿宋_GB2312" w:eastAsia="仿宋_GB2312" w:cs="Times New Roman"/>
                <w:sz w:val="18"/>
                <w:szCs w:val="18"/>
                <w:lang w:eastAsia="zh-CN"/>
              </w:rPr>
              <w:t>。</w:t>
            </w:r>
            <w:r>
              <w:rPr>
                <w:rFonts w:hint="eastAsia" w:ascii="仿宋_GB2312" w:eastAsia="仿宋_GB2312" w:cs="Times New Roman"/>
                <w:sz w:val="18"/>
                <w:szCs w:val="18"/>
              </w:rPr>
              <w:t>负责全县交通运输行业综合行政执法工作的统筹协调和监督指导。负责全县交通运输行业对外经济技术合作、引进利用外资、开展对外交流与合作</w:t>
            </w:r>
            <w:r>
              <w:rPr>
                <w:rFonts w:hint="eastAsia" w:ascii="仿宋_GB2312" w:eastAsia="仿宋_GB2312" w:cs="Times New Roman"/>
                <w:sz w:val="18"/>
                <w:szCs w:val="18"/>
                <w:lang w:eastAsia="zh-CN"/>
              </w:rPr>
              <w:t>。</w:t>
            </w:r>
            <w:r>
              <w:rPr>
                <w:rFonts w:hint="eastAsia" w:ascii="仿宋_GB2312" w:eastAsia="仿宋_GB2312" w:cs="Times New Roman"/>
                <w:sz w:val="18"/>
                <w:szCs w:val="18"/>
              </w:rPr>
              <w:t>完成县委、县政府交办的其他任务</w:t>
            </w:r>
            <w:r>
              <w:rPr>
                <w:rFonts w:hint="eastAsia" w:ascii="仿宋_GB2312" w:eastAsia="仿宋_GB2312" w:cs="Times New Roman"/>
                <w:sz w:val="18"/>
                <w:szCs w:val="18"/>
                <w:lang w:eastAsia="zh-CN"/>
              </w:rPr>
              <w:t>。</w:t>
            </w:r>
          </w:p>
          <w:p>
            <w:pPr>
              <w:rPr>
                <w:rFonts w:hint="eastAsia" w:ascii="仿宋_GB2312" w:eastAsia="仿宋_GB2312"/>
                <w:sz w:val="32"/>
                <w:szCs w:val="32"/>
              </w:rPr>
            </w:pPr>
          </w:p>
          <w:p>
            <w:pPr>
              <w:ind w:firstLine="360" w:firstLineChars="200"/>
              <w:rPr>
                <w:rFonts w:hint="eastAsia" w:ascii="仿宋_GB2312" w:eastAsia="仿宋_GB2312"/>
                <w:sz w:val="18"/>
                <w:szCs w:val="18"/>
              </w:rPr>
            </w:pPr>
          </w:p>
          <w:p>
            <w:pPr>
              <w:pStyle w:val="10"/>
              <w:keepNext w:val="0"/>
              <w:keepLines w:val="0"/>
              <w:widowControl w:val="0"/>
              <w:shd w:val="clear" w:color="auto" w:fill="auto"/>
              <w:bidi w:val="0"/>
              <w:spacing w:before="0" w:after="0" w:line="252" w:lineRule="exact"/>
              <w:ind w:left="0" w:right="0"/>
              <w:jc w:val="both"/>
              <w:rPr>
                <w:sz w:val="20"/>
                <w:szCs w:val="20"/>
              </w:rPr>
            </w:pPr>
          </w:p>
        </w:tc>
      </w:tr>
      <w:tr>
        <w:tblPrEx>
          <w:tblCellMar>
            <w:top w:w="0" w:type="dxa"/>
            <w:left w:w="10" w:type="dxa"/>
            <w:bottom w:w="0" w:type="dxa"/>
            <w:right w:w="10" w:type="dxa"/>
          </w:tblCellMar>
        </w:tblPrEx>
        <w:trPr>
          <w:trHeight w:val="461" w:hRule="exact"/>
          <w:jc w:val="center"/>
        </w:trPr>
        <w:tc>
          <w:tcPr>
            <w:tcW w:w="0" w:type="auto"/>
            <w:vMerge w:val="restart"/>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59" w:lineRule="exact"/>
              <w:ind w:left="0" w:right="0" w:firstLine="0"/>
              <w:jc w:val="center"/>
              <w:rPr>
                <w:sz w:val="20"/>
                <w:szCs w:val="20"/>
              </w:rPr>
            </w:pPr>
            <w:r>
              <w:rPr>
                <w:color w:val="000000"/>
                <w:spacing w:val="0"/>
                <w:w w:val="100"/>
                <w:position w:val="0"/>
                <w:sz w:val="20"/>
                <w:szCs w:val="20"/>
              </w:rPr>
              <w:t>年度主要 任务</w:t>
            </w:r>
          </w:p>
        </w:tc>
        <w:tc>
          <w:tcPr>
            <w:tcW w:w="0" w:type="auto"/>
            <w:gridSpan w:val="2"/>
            <w:tcBorders>
              <w:top w:val="single" w:color="auto" w:sz="4" w:space="0"/>
              <w:lef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任务名称</w:t>
            </w:r>
          </w:p>
        </w:tc>
        <w:tc>
          <w:tcPr>
            <w:tcW w:w="0" w:type="auto"/>
            <w:gridSpan w:val="2"/>
            <w:tcBorders>
              <w:top w:val="single" w:color="auto" w:sz="4" w:space="0"/>
              <w:left w:val="single" w:color="auto" w:sz="4" w:space="0"/>
              <w:righ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主要内容</w:t>
            </w:r>
          </w:p>
        </w:tc>
      </w:tr>
      <w:tr>
        <w:tblPrEx>
          <w:tblCellMar>
            <w:top w:w="0" w:type="dxa"/>
            <w:left w:w="10" w:type="dxa"/>
            <w:bottom w:w="0" w:type="dxa"/>
            <w:right w:w="10" w:type="dxa"/>
          </w:tblCellMar>
        </w:tblPrEx>
        <w:trPr>
          <w:trHeight w:val="576" w:hRule="exact"/>
          <w:jc w:val="center"/>
        </w:trPr>
        <w:tc>
          <w:tcPr>
            <w:tcW w:w="0" w:type="auto"/>
            <w:vMerge w:val="continue"/>
            <w:tcBorders>
              <w:left w:val="single" w:color="auto" w:sz="4" w:space="0"/>
            </w:tcBorders>
            <w:shd w:val="clear" w:color="auto" w:fill="FFFFFF"/>
            <w:noWrap w:val="0"/>
            <w:vAlign w:val="center"/>
          </w:tcPr>
          <w:p/>
        </w:tc>
        <w:tc>
          <w:tcPr>
            <w:tcW w:w="0" w:type="auto"/>
            <w:gridSpan w:val="2"/>
            <w:tcBorders>
              <w:top w:val="single" w:color="auto" w:sz="4" w:space="0"/>
              <w:left w:val="single" w:color="auto" w:sz="4" w:space="0"/>
            </w:tcBorders>
            <w:shd w:val="clear" w:color="auto" w:fill="FFFFFF"/>
            <w:noWrap w:val="0"/>
            <w:vAlign w:val="center"/>
          </w:tcPr>
          <w:p>
            <w:pPr>
              <w:rPr>
                <w:rFonts w:hint="eastAsia" w:ascii="仿宋_GB2312" w:eastAsia="仿宋_GB2312" w:cs="Times New Roman"/>
                <w:sz w:val="18"/>
                <w:szCs w:val="18"/>
                <w:lang w:eastAsia="zh-CN"/>
              </w:rPr>
            </w:pPr>
            <w:r>
              <w:rPr>
                <w:rFonts w:hint="eastAsia" w:ascii="仿宋_GB2312" w:eastAsia="仿宋_GB2312"/>
                <w:sz w:val="18"/>
                <w:szCs w:val="18"/>
              </w:rPr>
              <w:t>承担全县道路、水路运输市场监管责任</w:t>
            </w:r>
            <w:r>
              <w:rPr>
                <w:rFonts w:hint="eastAsia" w:ascii="仿宋_GB2312" w:eastAsia="仿宋_GB2312"/>
                <w:sz w:val="18"/>
                <w:szCs w:val="18"/>
                <w:lang w:eastAsia="zh-CN"/>
              </w:rPr>
              <w:t>，</w:t>
            </w:r>
            <w:r>
              <w:rPr>
                <w:rFonts w:hint="eastAsia" w:ascii="仿宋_GB2312" w:eastAsia="仿宋_GB2312" w:cs="Times New Roman"/>
                <w:sz w:val="18"/>
                <w:szCs w:val="18"/>
              </w:rPr>
              <w:t>指导全县公路、水路行业安全生产和应急管理工作</w:t>
            </w:r>
            <w:r>
              <w:rPr>
                <w:rFonts w:hint="eastAsia" w:ascii="仿宋_GB2312" w:eastAsia="仿宋_GB2312" w:cs="Times New Roman"/>
                <w:sz w:val="18"/>
                <w:szCs w:val="18"/>
                <w:lang w:eastAsia="zh-CN"/>
              </w:rPr>
              <w:t>。</w:t>
            </w:r>
          </w:p>
          <w:p>
            <w:pPr>
              <w:rPr>
                <w:rFonts w:hint="eastAsia" w:ascii="仿宋_GB2312" w:eastAsia="仿宋_GB2312" w:cs="Times New Roman"/>
                <w:sz w:val="18"/>
                <w:szCs w:val="18"/>
                <w:lang w:eastAsia="zh-CN"/>
              </w:rPr>
            </w:pPr>
          </w:p>
          <w:p>
            <w:pPr>
              <w:pStyle w:val="10"/>
              <w:keepNext w:val="0"/>
              <w:keepLines w:val="0"/>
              <w:widowControl w:val="0"/>
              <w:shd w:val="clear" w:color="auto" w:fill="auto"/>
              <w:bidi w:val="0"/>
              <w:spacing w:before="0" w:after="0" w:line="240" w:lineRule="auto"/>
              <w:ind w:left="0" w:right="0" w:firstLine="0"/>
              <w:jc w:val="center"/>
              <w:rPr>
                <w:sz w:val="20"/>
                <w:szCs w:val="20"/>
              </w:rPr>
            </w:pPr>
          </w:p>
        </w:tc>
        <w:tc>
          <w:tcPr>
            <w:tcW w:w="0" w:type="auto"/>
            <w:gridSpan w:val="2"/>
            <w:tcBorders>
              <w:top w:val="single" w:color="auto" w:sz="4" w:space="0"/>
              <w:left w:val="single" w:color="auto" w:sz="4" w:space="0"/>
              <w:right w:val="single" w:color="auto" w:sz="4" w:space="0"/>
            </w:tcBorders>
            <w:shd w:val="clear" w:color="auto" w:fill="FFFFFF"/>
            <w:noWrap w:val="0"/>
            <w:vAlign w:val="center"/>
          </w:tcPr>
          <w:p>
            <w:pPr>
              <w:rPr>
                <w:rFonts w:hint="eastAsia" w:ascii="仿宋_GB2312" w:eastAsia="仿宋_GB2312" w:cs="Times New Roman"/>
                <w:sz w:val="18"/>
                <w:szCs w:val="18"/>
                <w:lang w:eastAsia="zh-CN"/>
              </w:rPr>
            </w:pPr>
            <w:r>
              <w:rPr>
                <w:rFonts w:hint="eastAsia" w:ascii="宋体" w:hAnsi="宋体" w:eastAsia="宋体" w:cs="宋体"/>
                <w:i w:val="0"/>
                <w:iCs w:val="0"/>
                <w:color w:val="000000"/>
                <w:sz w:val="18"/>
                <w:szCs w:val="18"/>
                <w:u w:val="none"/>
                <w:lang w:val="en-US" w:eastAsia="zh-CN"/>
              </w:rPr>
              <w:t>确保全县道路、水路运输市场有序运行，加强公路、水路行业安全。</w:t>
            </w:r>
          </w:p>
          <w:p>
            <w:pPr>
              <w:pStyle w:val="10"/>
              <w:keepNext w:val="0"/>
              <w:keepLines w:val="0"/>
              <w:widowControl w:val="0"/>
              <w:shd w:val="clear" w:color="auto" w:fill="auto"/>
              <w:bidi w:val="0"/>
              <w:spacing w:before="0" w:after="0" w:line="240" w:lineRule="auto"/>
              <w:ind w:left="0" w:right="0" w:firstLine="0"/>
              <w:jc w:val="center"/>
              <w:rPr>
                <w:sz w:val="20"/>
                <w:szCs w:val="20"/>
              </w:rPr>
            </w:pPr>
          </w:p>
        </w:tc>
      </w:tr>
      <w:tr>
        <w:tblPrEx>
          <w:tblCellMar>
            <w:top w:w="0" w:type="dxa"/>
            <w:left w:w="10" w:type="dxa"/>
            <w:bottom w:w="0" w:type="dxa"/>
            <w:right w:w="10" w:type="dxa"/>
          </w:tblCellMar>
        </w:tblPrEx>
        <w:trPr>
          <w:trHeight w:val="454" w:hRule="exact"/>
          <w:jc w:val="center"/>
        </w:trPr>
        <w:tc>
          <w:tcPr>
            <w:tcW w:w="0" w:type="auto"/>
            <w:vMerge w:val="restart"/>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预算情况</w:t>
            </w:r>
          </w:p>
        </w:tc>
        <w:tc>
          <w:tcPr>
            <w:tcW w:w="3801" w:type="dxa"/>
            <w:gridSpan w:val="3"/>
            <w:tcBorders>
              <w:top w:val="single" w:color="auto" w:sz="4" w:space="0"/>
              <w:lef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部门预算总额（万元）</w:t>
            </w:r>
          </w:p>
        </w:tc>
        <w:tc>
          <w:tcPr>
            <w:tcW w:w="6019" w:type="dxa"/>
            <w:tcBorders>
              <w:top w:val="single" w:color="auto" w:sz="4" w:space="0"/>
              <w:left w:val="single" w:color="auto" w:sz="4" w:space="0"/>
              <w:righ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40" w:lineRule="auto"/>
              <w:ind w:left="0" w:right="0" w:firstLine="0"/>
              <w:jc w:val="center"/>
              <w:rPr>
                <w:rFonts w:hint="default" w:eastAsia="宋体"/>
                <w:sz w:val="20"/>
                <w:szCs w:val="20"/>
                <w:lang w:val="en-US" w:eastAsia="zh-CN"/>
              </w:rPr>
            </w:pPr>
            <w:r>
              <w:rPr>
                <w:rFonts w:hint="eastAsia" w:ascii="Times New Roman" w:hAnsi="Times New Roman" w:cs="Times New Roman"/>
                <w:b/>
                <w:bCs/>
                <w:color w:val="000000"/>
                <w:spacing w:val="0"/>
                <w:w w:val="100"/>
                <w:position w:val="0"/>
                <w:sz w:val="20"/>
                <w:szCs w:val="20"/>
                <w:lang w:val="en-US" w:eastAsia="zh-CN" w:bidi="en-US"/>
              </w:rPr>
              <w:t>272.89</w:t>
            </w:r>
          </w:p>
        </w:tc>
      </w:tr>
      <w:tr>
        <w:tblPrEx>
          <w:tblCellMar>
            <w:top w:w="0" w:type="dxa"/>
            <w:left w:w="10" w:type="dxa"/>
            <w:bottom w:w="0" w:type="dxa"/>
            <w:right w:w="10" w:type="dxa"/>
          </w:tblCellMar>
        </w:tblPrEx>
        <w:trPr>
          <w:trHeight w:val="454" w:hRule="exact"/>
          <w:jc w:val="center"/>
        </w:trPr>
        <w:tc>
          <w:tcPr>
            <w:tcW w:w="0" w:type="auto"/>
            <w:vMerge w:val="continue"/>
            <w:tcBorders>
              <w:left w:val="single" w:color="auto" w:sz="4" w:space="0"/>
            </w:tcBorders>
            <w:shd w:val="clear" w:color="auto" w:fill="FFFFFF"/>
            <w:noWrap w:val="0"/>
            <w:vAlign w:val="center"/>
          </w:tcPr>
          <w:p/>
        </w:tc>
        <w:tc>
          <w:tcPr>
            <w:tcW w:w="3801" w:type="dxa"/>
            <w:gridSpan w:val="3"/>
            <w:tcBorders>
              <w:top w:val="single" w:color="auto" w:sz="4" w:space="0"/>
              <w:lef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1</w:t>
            </w:r>
            <w:r>
              <w:rPr>
                <w:color w:val="000000"/>
                <w:spacing w:val="0"/>
                <w:w w:val="100"/>
                <w:position w:val="0"/>
                <w:sz w:val="20"/>
                <w:szCs w:val="20"/>
              </w:rPr>
              <w:t>、资金来源：（</w:t>
            </w:r>
            <w:r>
              <w:rPr>
                <w:rFonts w:ascii="Times New Roman" w:hAnsi="Times New Roman" w:eastAsia="Times New Roman" w:cs="Times New Roman"/>
                <w:color w:val="000000"/>
                <w:spacing w:val="0"/>
                <w:w w:val="100"/>
                <w:position w:val="0"/>
                <w:sz w:val="20"/>
                <w:szCs w:val="20"/>
              </w:rPr>
              <w:t>1）</w:t>
            </w:r>
            <w:r>
              <w:rPr>
                <w:color w:val="000000"/>
                <w:spacing w:val="0"/>
                <w:w w:val="100"/>
                <w:position w:val="0"/>
                <w:sz w:val="20"/>
                <w:szCs w:val="20"/>
              </w:rPr>
              <w:t>财政资金</w:t>
            </w:r>
          </w:p>
        </w:tc>
        <w:tc>
          <w:tcPr>
            <w:tcW w:w="6019" w:type="dxa"/>
            <w:tcBorders>
              <w:top w:val="single" w:color="auto" w:sz="4" w:space="0"/>
              <w:left w:val="single" w:color="auto" w:sz="4" w:space="0"/>
              <w:righ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40" w:lineRule="auto"/>
              <w:ind w:left="0" w:right="0" w:firstLine="0"/>
              <w:jc w:val="center"/>
              <w:rPr>
                <w:rFonts w:hint="default" w:eastAsia="宋体"/>
                <w:sz w:val="20"/>
                <w:szCs w:val="20"/>
                <w:lang w:val="en-US" w:eastAsia="zh-CN"/>
              </w:rPr>
            </w:pPr>
            <w:r>
              <w:rPr>
                <w:rFonts w:hint="eastAsia" w:ascii="Times New Roman" w:hAnsi="Times New Roman" w:cs="Times New Roman"/>
                <w:b/>
                <w:bCs/>
                <w:color w:val="000000"/>
                <w:spacing w:val="0"/>
                <w:w w:val="100"/>
                <w:position w:val="0"/>
                <w:sz w:val="20"/>
                <w:szCs w:val="20"/>
                <w:lang w:val="en-US" w:eastAsia="zh-CN" w:bidi="en-US"/>
              </w:rPr>
              <w:t>272.89</w:t>
            </w:r>
          </w:p>
        </w:tc>
      </w:tr>
      <w:tr>
        <w:tblPrEx>
          <w:tblCellMar>
            <w:top w:w="0" w:type="dxa"/>
            <w:left w:w="10" w:type="dxa"/>
            <w:bottom w:w="0" w:type="dxa"/>
            <w:right w:w="10" w:type="dxa"/>
          </w:tblCellMar>
        </w:tblPrEx>
        <w:trPr>
          <w:trHeight w:val="454" w:hRule="exact"/>
          <w:jc w:val="center"/>
        </w:trPr>
        <w:tc>
          <w:tcPr>
            <w:tcW w:w="0" w:type="auto"/>
            <w:vMerge w:val="continue"/>
            <w:tcBorders>
              <w:left w:val="single" w:color="auto" w:sz="4" w:space="0"/>
            </w:tcBorders>
            <w:shd w:val="clear" w:color="auto" w:fill="FFFFFF"/>
            <w:noWrap w:val="0"/>
            <w:vAlign w:val="center"/>
          </w:tcPr>
          <w:p/>
        </w:tc>
        <w:tc>
          <w:tcPr>
            <w:tcW w:w="3801" w:type="dxa"/>
            <w:gridSpan w:val="3"/>
            <w:tcBorders>
              <w:top w:val="single" w:color="auto" w:sz="4" w:space="0"/>
              <w:lef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（2）</w:t>
            </w:r>
            <w:r>
              <w:rPr>
                <w:color w:val="000000"/>
                <w:spacing w:val="0"/>
                <w:w w:val="100"/>
                <w:position w:val="0"/>
                <w:sz w:val="20"/>
                <w:szCs w:val="20"/>
              </w:rPr>
              <w:t>其他资金</w:t>
            </w:r>
          </w:p>
        </w:tc>
        <w:tc>
          <w:tcPr>
            <w:tcW w:w="6019" w:type="dxa"/>
            <w:tcBorders>
              <w:top w:val="single" w:color="auto" w:sz="4" w:space="0"/>
              <w:left w:val="single" w:color="auto" w:sz="4" w:space="0"/>
              <w:righ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40" w:lineRule="auto"/>
              <w:ind w:left="0" w:right="0" w:firstLine="0"/>
              <w:jc w:val="center"/>
              <w:rPr>
                <w:rFonts w:hint="eastAsia" w:ascii="Times New Roman" w:hAnsi="Times New Roman" w:cs="Times New Roman"/>
                <w:b/>
                <w:bCs/>
                <w:color w:val="000000"/>
                <w:spacing w:val="0"/>
                <w:w w:val="100"/>
                <w:position w:val="0"/>
                <w:sz w:val="20"/>
                <w:szCs w:val="20"/>
                <w:lang w:val="en-US" w:eastAsia="zh-CN" w:bidi="en-US"/>
              </w:rPr>
            </w:pPr>
            <w:r>
              <w:rPr>
                <w:rFonts w:hint="eastAsia" w:ascii="Times New Roman" w:hAnsi="Times New Roman" w:cs="Times New Roman"/>
                <w:b/>
                <w:bCs/>
                <w:color w:val="000000"/>
                <w:spacing w:val="0"/>
                <w:w w:val="100"/>
                <w:position w:val="0"/>
                <w:sz w:val="20"/>
                <w:szCs w:val="20"/>
                <w:lang w:val="en-US" w:eastAsia="zh-CN" w:bidi="en-US"/>
              </w:rPr>
              <w:t>0</w:t>
            </w:r>
          </w:p>
        </w:tc>
      </w:tr>
      <w:tr>
        <w:tblPrEx>
          <w:tblCellMar>
            <w:top w:w="0" w:type="dxa"/>
            <w:left w:w="10" w:type="dxa"/>
            <w:bottom w:w="0" w:type="dxa"/>
            <w:right w:w="10" w:type="dxa"/>
          </w:tblCellMar>
        </w:tblPrEx>
        <w:trPr>
          <w:trHeight w:val="454" w:hRule="exact"/>
          <w:jc w:val="center"/>
        </w:trPr>
        <w:tc>
          <w:tcPr>
            <w:tcW w:w="0" w:type="auto"/>
            <w:vMerge w:val="continue"/>
            <w:tcBorders>
              <w:left w:val="single" w:color="auto" w:sz="4" w:space="0"/>
            </w:tcBorders>
            <w:shd w:val="clear" w:color="auto" w:fill="FFFFFF"/>
            <w:noWrap w:val="0"/>
            <w:vAlign w:val="center"/>
          </w:tcPr>
          <w:p/>
        </w:tc>
        <w:tc>
          <w:tcPr>
            <w:tcW w:w="3801" w:type="dxa"/>
            <w:gridSpan w:val="3"/>
            <w:tcBorders>
              <w:top w:val="single" w:color="auto" w:sz="4" w:space="0"/>
              <w:lef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2</w:t>
            </w:r>
            <w:r>
              <w:rPr>
                <w:color w:val="000000"/>
                <w:spacing w:val="0"/>
                <w:w w:val="100"/>
                <w:position w:val="0"/>
                <w:sz w:val="20"/>
                <w:szCs w:val="20"/>
              </w:rPr>
              <w:t>、资金结构：（</w:t>
            </w:r>
            <w:r>
              <w:rPr>
                <w:rFonts w:ascii="Times New Roman" w:hAnsi="Times New Roman" w:eastAsia="Times New Roman" w:cs="Times New Roman"/>
                <w:color w:val="000000"/>
                <w:spacing w:val="0"/>
                <w:w w:val="100"/>
                <w:position w:val="0"/>
                <w:sz w:val="20"/>
                <w:szCs w:val="20"/>
              </w:rPr>
              <w:t>1）</w:t>
            </w:r>
            <w:r>
              <w:rPr>
                <w:color w:val="000000"/>
                <w:spacing w:val="0"/>
                <w:w w:val="100"/>
                <w:position w:val="0"/>
                <w:sz w:val="20"/>
                <w:szCs w:val="20"/>
              </w:rPr>
              <w:t>基本支出</w:t>
            </w:r>
          </w:p>
        </w:tc>
        <w:tc>
          <w:tcPr>
            <w:tcW w:w="6019" w:type="dxa"/>
            <w:tcBorders>
              <w:top w:val="single" w:color="auto" w:sz="4" w:space="0"/>
              <w:left w:val="single" w:color="auto" w:sz="4" w:space="0"/>
              <w:righ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b/>
                <w:bCs/>
                <w:color w:val="000000"/>
                <w:spacing w:val="0"/>
                <w:w w:val="100"/>
                <w:position w:val="0"/>
                <w:sz w:val="20"/>
                <w:szCs w:val="20"/>
                <w:lang w:val="en-US" w:eastAsia="zh-CN" w:bidi="en-US"/>
              </w:rPr>
            </w:pPr>
            <w:r>
              <w:rPr>
                <w:rFonts w:hint="eastAsia" w:ascii="Times New Roman" w:hAnsi="Times New Roman" w:cs="Times New Roman"/>
                <w:b/>
                <w:bCs/>
                <w:color w:val="000000"/>
                <w:spacing w:val="0"/>
                <w:w w:val="100"/>
                <w:position w:val="0"/>
                <w:sz w:val="20"/>
                <w:szCs w:val="20"/>
                <w:lang w:val="en-US" w:eastAsia="zh-CN" w:bidi="en-US"/>
              </w:rPr>
              <w:t>272.89</w:t>
            </w:r>
          </w:p>
        </w:tc>
      </w:tr>
      <w:tr>
        <w:tblPrEx>
          <w:tblCellMar>
            <w:top w:w="0" w:type="dxa"/>
            <w:left w:w="10" w:type="dxa"/>
            <w:bottom w:w="0" w:type="dxa"/>
            <w:right w:w="10" w:type="dxa"/>
          </w:tblCellMar>
        </w:tblPrEx>
        <w:trPr>
          <w:trHeight w:val="454" w:hRule="exact"/>
          <w:jc w:val="center"/>
        </w:trPr>
        <w:tc>
          <w:tcPr>
            <w:tcW w:w="0" w:type="auto"/>
            <w:vMerge w:val="continue"/>
            <w:tcBorders>
              <w:left w:val="single" w:color="auto" w:sz="4" w:space="0"/>
              <w:bottom w:val="single" w:color="auto" w:sz="4" w:space="0"/>
            </w:tcBorders>
            <w:shd w:val="clear" w:color="auto" w:fill="FFFFFF"/>
            <w:noWrap w:val="0"/>
            <w:vAlign w:val="center"/>
          </w:tcPr>
          <w:p/>
        </w:tc>
        <w:tc>
          <w:tcPr>
            <w:tcW w:w="0" w:type="auto"/>
            <w:gridSpan w:val="2"/>
            <w:tcBorders>
              <w:top w:val="single" w:color="auto" w:sz="4" w:space="0"/>
              <w:left w:val="single" w:color="auto" w:sz="4" w:space="0"/>
              <w:bottom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40" w:lineRule="auto"/>
              <w:ind w:left="2000" w:right="0" w:firstLine="0"/>
              <w:jc w:val="left"/>
              <w:rPr>
                <w:sz w:val="20"/>
                <w:szCs w:val="20"/>
              </w:rPr>
            </w:pPr>
            <w:r>
              <w:rPr>
                <w:rFonts w:ascii="Times New Roman" w:hAnsi="Times New Roman" w:eastAsia="Times New Roman" w:cs="Times New Roman"/>
                <w:color w:val="000000"/>
                <w:spacing w:val="0"/>
                <w:w w:val="100"/>
                <w:position w:val="0"/>
                <w:sz w:val="20"/>
                <w:szCs w:val="20"/>
              </w:rPr>
              <w:t>（2）</w:t>
            </w:r>
            <w:r>
              <w:rPr>
                <w:color w:val="000000"/>
                <w:spacing w:val="0"/>
                <w:w w:val="100"/>
                <w:position w:val="0"/>
                <w:sz w:val="20"/>
                <w:szCs w:val="20"/>
              </w:rPr>
              <w:t>项目支</w:t>
            </w:r>
          </w:p>
        </w:tc>
        <w:tc>
          <w:tcPr>
            <w:tcW w:w="758" w:type="dxa"/>
            <w:tcBorders>
              <w:top w:val="single" w:color="auto" w:sz="4" w:space="0"/>
              <w:left w:val="single" w:color="auto" w:sz="4" w:space="0"/>
              <w:bottom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出</w:t>
            </w:r>
          </w:p>
        </w:tc>
        <w:tc>
          <w:tcPr>
            <w:tcW w:w="6019"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b/>
                <w:bCs/>
                <w:color w:val="000000"/>
                <w:spacing w:val="0"/>
                <w:w w:val="100"/>
                <w:position w:val="0"/>
                <w:sz w:val="20"/>
                <w:szCs w:val="20"/>
                <w:lang w:val="en-US" w:eastAsia="zh-CN" w:bidi="en-US"/>
              </w:rPr>
            </w:pPr>
            <w:r>
              <w:rPr>
                <w:rFonts w:hint="eastAsia" w:ascii="Times New Roman" w:hAnsi="Times New Roman" w:cs="Times New Roman"/>
                <w:b/>
                <w:bCs/>
                <w:color w:val="000000"/>
                <w:spacing w:val="0"/>
                <w:w w:val="100"/>
                <w:position w:val="0"/>
                <w:sz w:val="20"/>
                <w:szCs w:val="20"/>
                <w:lang w:val="en-US" w:eastAsia="zh-CN" w:bidi="en-US"/>
              </w:rPr>
              <w:t>59.59</w:t>
            </w:r>
          </w:p>
        </w:tc>
      </w:tr>
      <w:tr>
        <w:tblPrEx>
          <w:tblCellMar>
            <w:top w:w="0" w:type="dxa"/>
            <w:left w:w="10" w:type="dxa"/>
            <w:bottom w:w="0" w:type="dxa"/>
            <w:right w:w="10" w:type="dxa"/>
          </w:tblCellMar>
        </w:tblPrEx>
        <w:trPr>
          <w:trHeight w:val="466"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一</w:t>
            </w:r>
            <w:r>
              <w:rPr>
                <w:b/>
                <w:bCs/>
                <w:color w:val="000000"/>
                <w:spacing w:val="0"/>
                <w:w w:val="100"/>
                <w:position w:val="0"/>
                <w:sz w:val="20"/>
                <w:szCs w:val="20"/>
              </w:rPr>
              <w:t>级指标</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二级指标</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三级指标</w:t>
            </w:r>
          </w:p>
        </w:tc>
        <w:tc>
          <w:tcPr>
            <w:tcW w:w="7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指标值</w:t>
            </w:r>
          </w:p>
        </w:tc>
        <w:tc>
          <w:tcPr>
            <w:tcW w:w="60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指标说明</w:t>
            </w:r>
          </w:p>
        </w:tc>
      </w:tr>
      <w:tr>
        <w:tblPrEx>
          <w:tblCellMar>
            <w:top w:w="0" w:type="dxa"/>
            <w:left w:w="10" w:type="dxa"/>
            <w:bottom w:w="0" w:type="dxa"/>
            <w:right w:w="10" w:type="dxa"/>
          </w:tblCellMar>
        </w:tblPrEx>
        <w:trPr>
          <w:trHeight w:val="1090" w:hRule="exact"/>
          <w:jc w:val="center"/>
        </w:trPr>
        <w:tc>
          <w:tcPr>
            <w:tcW w:w="974" w:type="dxa"/>
            <w:vMerge w:val="restart"/>
            <w:tcBorders>
              <w:top w:val="single" w:color="auto" w:sz="4" w:space="0"/>
              <w:left w:val="single" w:color="auto" w:sz="4" w:space="0"/>
              <w:right w:val="single" w:color="auto" w:sz="4" w:space="0"/>
            </w:tcBorders>
            <w:shd w:val="clear" w:color="auto" w:fill="FFFFFF"/>
            <w:noWrap w:val="0"/>
            <w:vAlign w:val="top"/>
          </w:tcPr>
          <w:p>
            <w:pPr>
              <w:widowControl w:val="0"/>
              <w:rPr>
                <w:sz w:val="10"/>
                <w:szCs w:val="10"/>
              </w:rPr>
            </w:pPr>
          </w:p>
        </w:tc>
        <w:tc>
          <w:tcPr>
            <w:tcW w:w="1157" w:type="dxa"/>
            <w:vMerge w:val="restart"/>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工作目标管</w:t>
            </w:r>
          </w:p>
          <w:p>
            <w:pPr>
              <w:pStyle w:val="10"/>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理</w:t>
            </w:r>
          </w:p>
        </w:tc>
        <w:tc>
          <w:tcPr>
            <w:tcW w:w="18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年度履职目标相关性</w:t>
            </w:r>
          </w:p>
        </w:tc>
        <w:tc>
          <w:tcPr>
            <w:tcW w:w="7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160"/>
              <w:jc w:val="left"/>
              <w:rPr>
                <w:sz w:val="17"/>
                <w:szCs w:val="17"/>
              </w:rPr>
            </w:pPr>
            <w:r>
              <w:rPr>
                <w:b/>
                <w:bCs/>
                <w:color w:val="000000"/>
                <w:spacing w:val="0"/>
                <w:w w:val="100"/>
                <w:position w:val="0"/>
                <w:sz w:val="17"/>
                <w:szCs w:val="17"/>
              </w:rPr>
              <w:t>相关</w:t>
            </w:r>
          </w:p>
        </w:tc>
        <w:tc>
          <w:tcPr>
            <w:tcW w:w="60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26" w:lineRule="exact"/>
              <w:ind w:left="0" w:right="0" w:firstLine="0"/>
              <w:jc w:val="both"/>
              <w:rPr>
                <w:sz w:val="17"/>
                <w:szCs w:val="17"/>
              </w:rPr>
            </w:pPr>
            <w:r>
              <w:rPr>
                <w:color w:val="000000"/>
                <w:spacing w:val="0"/>
                <w:w w:val="100"/>
                <w:position w:val="0"/>
                <w:sz w:val="16"/>
                <w:szCs w:val="16"/>
              </w:rPr>
              <w:t>1</w:t>
            </w:r>
            <w:r>
              <w:rPr>
                <w:color w:val="000000"/>
                <w:spacing w:val="0"/>
                <w:w w:val="100"/>
                <w:position w:val="0"/>
                <w:sz w:val="17"/>
                <w:szCs w:val="17"/>
              </w:rPr>
              <w:t>.年度履职目标是否符合国家、省委省政府战略部署和发展规划，与国家 、省宏观政策、行业政策一致；</w:t>
            </w:r>
            <w:r>
              <w:rPr>
                <w:color w:val="000000"/>
                <w:spacing w:val="0"/>
                <w:w w:val="100"/>
                <w:position w:val="0"/>
                <w:sz w:val="16"/>
                <w:szCs w:val="16"/>
              </w:rPr>
              <w:t>2</w:t>
            </w:r>
            <w:r>
              <w:rPr>
                <w:color w:val="000000"/>
                <w:spacing w:val="0"/>
                <w:w w:val="100"/>
                <w:position w:val="0"/>
                <w:sz w:val="17"/>
                <w:szCs w:val="17"/>
              </w:rPr>
              <w:t>.年度履职目标是否与部门职责、工作规 划和重点工作相关；</w:t>
            </w:r>
            <w:r>
              <w:rPr>
                <w:color w:val="000000"/>
                <w:spacing w:val="0"/>
                <w:w w:val="100"/>
                <w:position w:val="0"/>
                <w:sz w:val="16"/>
                <w:szCs w:val="16"/>
              </w:rPr>
              <w:t>3</w:t>
            </w:r>
            <w:r>
              <w:rPr>
                <w:color w:val="000000"/>
                <w:spacing w:val="0"/>
                <w:w w:val="100"/>
                <w:position w:val="0"/>
                <w:sz w:val="17"/>
                <w:szCs w:val="17"/>
              </w:rPr>
              <w:t>,确定的预算项目是否合理，是否与工作目标密切相 关；</w:t>
            </w:r>
            <w:r>
              <w:rPr>
                <w:color w:val="000000"/>
                <w:spacing w:val="0"/>
                <w:w w:val="100"/>
                <w:position w:val="0"/>
                <w:sz w:val="16"/>
                <w:szCs w:val="16"/>
              </w:rPr>
              <w:t>4</w:t>
            </w:r>
            <w:r>
              <w:rPr>
                <w:color w:val="000000"/>
                <w:spacing w:val="0"/>
                <w:w w:val="100"/>
                <w:position w:val="0"/>
                <w:sz w:val="17"/>
                <w:szCs w:val="17"/>
              </w:rPr>
              <w:t>.工作任务和项目预算安排是否合理。</w:t>
            </w:r>
          </w:p>
        </w:tc>
      </w:tr>
      <w:tr>
        <w:tblPrEx>
          <w:tblCellMar>
            <w:top w:w="0" w:type="dxa"/>
            <w:left w:w="10" w:type="dxa"/>
            <w:bottom w:w="0" w:type="dxa"/>
            <w:right w:w="10" w:type="dxa"/>
          </w:tblCellMar>
        </w:tblPrEx>
        <w:trPr>
          <w:trHeight w:val="1001" w:hRule="exact"/>
          <w:jc w:val="center"/>
        </w:trPr>
        <w:tc>
          <w:tcPr>
            <w:tcW w:w="974" w:type="dxa"/>
            <w:vMerge w:val="continue"/>
            <w:tcBorders>
              <w:left w:val="single" w:color="auto" w:sz="4" w:space="0"/>
              <w:right w:val="single" w:color="auto" w:sz="4" w:space="0"/>
            </w:tcBorders>
            <w:shd w:val="clear" w:color="auto" w:fill="FFFFFF"/>
            <w:noWrap w:val="0"/>
            <w:vAlign w:val="top"/>
          </w:tcPr>
          <w:p/>
        </w:tc>
        <w:tc>
          <w:tcPr>
            <w:tcW w:w="1157" w:type="dxa"/>
            <w:vMerge w:val="continue"/>
            <w:tcBorders>
              <w:left w:val="single" w:color="auto" w:sz="4" w:space="0"/>
              <w:right w:val="single" w:color="auto" w:sz="4" w:space="0"/>
            </w:tcBorders>
            <w:shd w:val="clear" w:color="auto" w:fill="FFFFFF"/>
            <w:noWrap w:val="0"/>
            <w:vAlign w:val="center"/>
          </w:tcPr>
          <w:p/>
        </w:tc>
        <w:tc>
          <w:tcPr>
            <w:tcW w:w="18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300"/>
              <w:jc w:val="left"/>
              <w:rPr>
                <w:sz w:val="17"/>
                <w:szCs w:val="17"/>
              </w:rPr>
            </w:pPr>
            <w:r>
              <w:rPr>
                <w:color w:val="000000"/>
                <w:spacing w:val="0"/>
                <w:w w:val="100"/>
                <w:position w:val="0"/>
                <w:sz w:val="17"/>
                <w:szCs w:val="17"/>
              </w:rPr>
              <w:t>工作任务科学性</w:t>
            </w:r>
          </w:p>
        </w:tc>
        <w:tc>
          <w:tcPr>
            <w:tcW w:w="7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160"/>
              <w:jc w:val="left"/>
              <w:rPr>
                <w:sz w:val="17"/>
                <w:szCs w:val="17"/>
              </w:rPr>
            </w:pPr>
            <w:r>
              <w:rPr>
                <w:b/>
                <w:bCs/>
                <w:color w:val="000000"/>
                <w:spacing w:val="0"/>
                <w:w w:val="100"/>
                <w:position w:val="0"/>
                <w:sz w:val="17"/>
                <w:szCs w:val="17"/>
              </w:rPr>
              <w:t>科学</w:t>
            </w:r>
          </w:p>
        </w:tc>
        <w:tc>
          <w:tcPr>
            <w:tcW w:w="60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30" w:lineRule="exact"/>
              <w:ind w:left="0" w:right="0" w:firstLine="0"/>
              <w:jc w:val="both"/>
              <w:rPr>
                <w:sz w:val="17"/>
                <w:szCs w:val="17"/>
              </w:rPr>
            </w:pPr>
            <w:r>
              <w:rPr>
                <w:color w:val="000000"/>
                <w:spacing w:val="0"/>
                <w:w w:val="100"/>
                <w:position w:val="0"/>
                <w:sz w:val="16"/>
                <w:szCs w:val="16"/>
                <w:lang w:val="en-US" w:eastAsia="en-US" w:bidi="en-US"/>
              </w:rPr>
              <w:t>1.</w:t>
            </w:r>
            <w:r>
              <w:rPr>
                <w:color w:val="000000"/>
                <w:spacing w:val="0"/>
                <w:w w:val="100"/>
                <w:position w:val="0"/>
                <w:sz w:val="17"/>
                <w:szCs w:val="17"/>
              </w:rPr>
              <w:t>工作任务是否有明确的绩效目标，绩效目标是否与部门年度履职目标一 致，是否能体现工作任务的产出和效果；</w:t>
            </w:r>
            <w:r>
              <w:rPr>
                <w:color w:val="000000"/>
                <w:spacing w:val="0"/>
                <w:w w:val="100"/>
                <w:position w:val="0"/>
                <w:sz w:val="16"/>
                <w:szCs w:val="16"/>
              </w:rPr>
              <w:t>2</w:t>
            </w:r>
            <w:r>
              <w:rPr>
                <w:color w:val="000000"/>
                <w:spacing w:val="0"/>
                <w:w w:val="100"/>
                <w:position w:val="0"/>
                <w:sz w:val="17"/>
                <w:szCs w:val="17"/>
              </w:rPr>
              <w:t>.工作任务对应的预算项目是否 有明确的绩效目标，绩效目标是否与部门职责目标、工作任务目标一致， 是否能体现预算项目的产出和效果。</w:t>
            </w:r>
          </w:p>
        </w:tc>
      </w:tr>
      <w:tr>
        <w:tblPrEx>
          <w:tblCellMar>
            <w:top w:w="0" w:type="dxa"/>
            <w:left w:w="10" w:type="dxa"/>
            <w:bottom w:w="0" w:type="dxa"/>
            <w:right w:w="10" w:type="dxa"/>
          </w:tblCellMar>
        </w:tblPrEx>
        <w:trPr>
          <w:trHeight w:val="991" w:hRule="exact"/>
          <w:jc w:val="center"/>
        </w:trPr>
        <w:tc>
          <w:tcPr>
            <w:tcW w:w="974" w:type="dxa"/>
            <w:vMerge w:val="continue"/>
            <w:tcBorders>
              <w:left w:val="single" w:color="auto" w:sz="4" w:space="0"/>
              <w:right w:val="single" w:color="auto" w:sz="4" w:space="0"/>
            </w:tcBorders>
            <w:shd w:val="clear" w:color="auto" w:fill="FFFFFF"/>
            <w:noWrap w:val="0"/>
            <w:vAlign w:val="top"/>
          </w:tcPr>
          <w:p/>
        </w:tc>
        <w:tc>
          <w:tcPr>
            <w:tcW w:w="1157" w:type="dxa"/>
            <w:vMerge w:val="continue"/>
            <w:tcBorders>
              <w:left w:val="single" w:color="auto" w:sz="4" w:space="0"/>
              <w:right w:val="single" w:color="auto" w:sz="4" w:space="0"/>
            </w:tcBorders>
            <w:shd w:val="clear" w:color="auto" w:fill="FFFFFF"/>
            <w:noWrap w:val="0"/>
            <w:vAlign w:val="center"/>
          </w:tcPr>
          <w:p/>
        </w:tc>
        <w:tc>
          <w:tcPr>
            <w:tcW w:w="18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300"/>
              <w:jc w:val="left"/>
              <w:rPr>
                <w:sz w:val="17"/>
                <w:szCs w:val="17"/>
              </w:rPr>
            </w:pPr>
            <w:r>
              <w:rPr>
                <w:color w:val="000000"/>
                <w:spacing w:val="0"/>
                <w:w w:val="100"/>
                <w:position w:val="0"/>
                <w:sz w:val="17"/>
                <w:szCs w:val="17"/>
              </w:rPr>
              <w:t>绩效指标合理性</w:t>
            </w:r>
          </w:p>
        </w:tc>
        <w:tc>
          <w:tcPr>
            <w:tcW w:w="7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160"/>
              <w:jc w:val="left"/>
              <w:rPr>
                <w:sz w:val="17"/>
                <w:szCs w:val="17"/>
              </w:rPr>
            </w:pPr>
            <w:r>
              <w:rPr>
                <w:b/>
                <w:bCs/>
                <w:color w:val="000000"/>
                <w:spacing w:val="0"/>
                <w:w w:val="100"/>
                <w:position w:val="0"/>
                <w:sz w:val="17"/>
                <w:szCs w:val="17"/>
              </w:rPr>
              <w:t>合理</w:t>
            </w:r>
          </w:p>
        </w:tc>
        <w:tc>
          <w:tcPr>
            <w:tcW w:w="60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widowControl w:val="0"/>
              <w:numPr>
                <w:ilvl w:val="0"/>
                <w:numId w:val="2"/>
              </w:numPr>
              <w:shd w:val="clear" w:color="auto" w:fill="auto"/>
              <w:tabs>
                <w:tab w:val="left" w:pos="274"/>
              </w:tabs>
              <w:bidi w:val="0"/>
              <w:spacing w:before="0" w:after="0" w:line="230" w:lineRule="exact"/>
              <w:ind w:left="0" w:right="0" w:firstLine="0"/>
              <w:jc w:val="both"/>
              <w:rPr>
                <w:sz w:val="17"/>
                <w:szCs w:val="17"/>
              </w:rPr>
            </w:pPr>
            <w:r>
              <w:rPr>
                <w:color w:val="000000"/>
                <w:spacing w:val="0"/>
                <w:w w:val="100"/>
                <w:position w:val="0"/>
                <w:sz w:val="17"/>
                <w:szCs w:val="17"/>
              </w:rPr>
              <w:t>工作任务、预算项目绩效指标设置是否准确反映部门绩效完成情况；</w:t>
            </w:r>
          </w:p>
          <w:p>
            <w:pPr>
              <w:pStyle w:val="10"/>
              <w:keepNext w:val="0"/>
              <w:keepLines w:val="0"/>
              <w:widowControl w:val="0"/>
              <w:numPr>
                <w:ilvl w:val="0"/>
                <w:numId w:val="2"/>
              </w:numPr>
              <w:shd w:val="clear" w:color="auto" w:fill="auto"/>
              <w:tabs>
                <w:tab w:val="left" w:pos="278"/>
              </w:tabs>
              <w:bidi w:val="0"/>
              <w:spacing w:before="0" w:after="0" w:line="230" w:lineRule="exact"/>
              <w:ind w:left="0" w:right="0" w:firstLine="0"/>
              <w:jc w:val="both"/>
              <w:rPr>
                <w:sz w:val="17"/>
                <w:szCs w:val="17"/>
              </w:rPr>
            </w:pPr>
            <w:r>
              <w:rPr>
                <w:color w:val="000000"/>
                <w:spacing w:val="0"/>
                <w:w w:val="100"/>
                <w:position w:val="0"/>
                <w:sz w:val="17"/>
                <w:szCs w:val="17"/>
              </w:rPr>
              <w:t>工作任务化、预算项目绩效指标是否清晰、细可评价、可衡量；</w:t>
            </w:r>
            <w:r>
              <w:rPr>
                <w:color w:val="000000"/>
                <w:spacing w:val="0"/>
                <w:w w:val="100"/>
                <w:position w:val="0"/>
                <w:sz w:val="16"/>
                <w:szCs w:val="16"/>
              </w:rPr>
              <w:t>3</w:t>
            </w:r>
            <w:r>
              <w:rPr>
                <w:color w:val="000000"/>
                <w:spacing w:val="0"/>
                <w:w w:val="100"/>
                <w:position w:val="0"/>
                <w:sz w:val="17"/>
                <w:szCs w:val="17"/>
              </w:rPr>
              <w:t>.工 作任务、预算项目绩效指标的评价标准是否清晰、可衡量；</w:t>
            </w:r>
            <w:r>
              <w:rPr>
                <w:color w:val="000000"/>
                <w:spacing w:val="0"/>
                <w:w w:val="100"/>
                <w:position w:val="0"/>
                <w:sz w:val="16"/>
                <w:szCs w:val="16"/>
                <w:lang w:val="en-US" w:eastAsia="en-US" w:bidi="en-US"/>
              </w:rPr>
              <w:t>4.</w:t>
            </w:r>
            <w:r>
              <w:rPr>
                <w:color w:val="000000"/>
                <w:spacing w:val="0"/>
                <w:w w:val="100"/>
                <w:position w:val="0"/>
                <w:sz w:val="17"/>
                <w:szCs w:val="17"/>
              </w:rPr>
              <w:t>是否与部 门年度的任务数或计划数相对应。</w:t>
            </w:r>
          </w:p>
        </w:tc>
      </w:tr>
      <w:tr>
        <w:tblPrEx>
          <w:tblCellMar>
            <w:top w:w="0" w:type="dxa"/>
            <w:left w:w="10" w:type="dxa"/>
            <w:bottom w:w="0" w:type="dxa"/>
            <w:right w:w="10" w:type="dxa"/>
          </w:tblCellMar>
        </w:tblPrEx>
        <w:trPr>
          <w:trHeight w:val="794" w:hRule="exact"/>
          <w:jc w:val="center"/>
        </w:trPr>
        <w:tc>
          <w:tcPr>
            <w:tcW w:w="974" w:type="dxa"/>
            <w:vMerge w:val="continue"/>
            <w:tcBorders>
              <w:left w:val="single" w:color="auto" w:sz="4" w:space="0"/>
              <w:right w:val="single" w:color="auto" w:sz="4" w:space="0"/>
            </w:tcBorders>
            <w:shd w:val="clear" w:color="auto" w:fill="FFFFFF"/>
            <w:noWrap w:val="0"/>
            <w:vAlign w:val="top"/>
          </w:tcPr>
          <w:p/>
        </w:tc>
        <w:tc>
          <w:tcPr>
            <w:tcW w:w="1157" w:type="dxa"/>
            <w:vMerge w:val="continue"/>
            <w:tcBorders>
              <w:left w:val="single" w:color="auto" w:sz="4" w:space="0"/>
              <w:right w:val="single" w:color="auto" w:sz="4" w:space="0"/>
            </w:tcBorders>
            <w:shd w:val="clear" w:color="auto" w:fill="FFFFFF"/>
            <w:noWrap w:val="0"/>
            <w:vAlign w:val="top"/>
          </w:tcPr>
          <w:p>
            <w:pPr>
              <w:widowControl w:val="0"/>
              <w:rPr>
                <w:sz w:val="10"/>
                <w:szCs w:val="10"/>
              </w:rPr>
            </w:pPr>
          </w:p>
        </w:tc>
        <w:tc>
          <w:tcPr>
            <w:tcW w:w="18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300"/>
              <w:jc w:val="left"/>
              <w:rPr>
                <w:sz w:val="17"/>
                <w:szCs w:val="17"/>
              </w:rPr>
            </w:pPr>
            <w:r>
              <w:rPr>
                <w:color w:val="000000"/>
                <w:spacing w:val="0"/>
                <w:w w:val="100"/>
                <w:position w:val="0"/>
                <w:sz w:val="17"/>
                <w:szCs w:val="17"/>
              </w:rPr>
              <w:t>预算编制完整性</w:t>
            </w:r>
          </w:p>
        </w:tc>
        <w:tc>
          <w:tcPr>
            <w:tcW w:w="7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160"/>
              <w:jc w:val="left"/>
              <w:rPr>
                <w:sz w:val="17"/>
                <w:szCs w:val="17"/>
              </w:rPr>
            </w:pPr>
            <w:r>
              <w:rPr>
                <w:b/>
                <w:bCs/>
                <w:color w:val="000000"/>
                <w:spacing w:val="0"/>
                <w:w w:val="100"/>
                <w:position w:val="0"/>
                <w:sz w:val="17"/>
                <w:szCs w:val="17"/>
              </w:rPr>
              <w:t>完整</w:t>
            </w:r>
          </w:p>
        </w:tc>
        <w:tc>
          <w:tcPr>
            <w:tcW w:w="60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30" w:lineRule="exact"/>
              <w:ind w:left="0" w:right="0" w:firstLine="0"/>
              <w:jc w:val="both"/>
              <w:rPr>
                <w:sz w:val="17"/>
                <w:szCs w:val="17"/>
              </w:rPr>
            </w:pPr>
            <w:r>
              <w:rPr>
                <w:color w:val="000000"/>
                <w:spacing w:val="0"/>
                <w:w w:val="100"/>
                <w:position w:val="0"/>
                <w:sz w:val="16"/>
                <w:szCs w:val="16"/>
                <w:lang w:val="en-US" w:eastAsia="en-US" w:bidi="en-US"/>
              </w:rPr>
              <w:t>1.</w:t>
            </w:r>
            <w:r>
              <w:rPr>
                <w:color w:val="000000"/>
                <w:spacing w:val="0"/>
                <w:w w:val="100"/>
                <w:position w:val="0"/>
                <w:sz w:val="17"/>
                <w:szCs w:val="17"/>
              </w:rPr>
              <w:t>部门所有收入是否全部纳入部门预算；</w:t>
            </w:r>
            <w:r>
              <w:rPr>
                <w:color w:val="000000"/>
                <w:spacing w:val="0"/>
                <w:w w:val="100"/>
                <w:position w:val="0"/>
                <w:sz w:val="16"/>
                <w:szCs w:val="16"/>
                <w:lang w:val="en-US" w:eastAsia="en-US" w:bidi="en-US"/>
              </w:rPr>
              <w:t>2,</w:t>
            </w:r>
            <w:r>
              <w:rPr>
                <w:color w:val="000000"/>
                <w:spacing w:val="0"/>
                <w:w w:val="100"/>
                <w:position w:val="0"/>
                <w:sz w:val="17"/>
                <w:szCs w:val="17"/>
              </w:rPr>
              <w:t>部门支出预算是否统筹各类 资金来源，全部纳入部门预算管理。</w:t>
            </w:r>
          </w:p>
        </w:tc>
      </w:tr>
      <w:tr>
        <w:tblPrEx>
          <w:tblCellMar>
            <w:top w:w="0" w:type="dxa"/>
            <w:left w:w="10" w:type="dxa"/>
            <w:bottom w:w="0" w:type="dxa"/>
            <w:right w:w="10" w:type="dxa"/>
          </w:tblCellMar>
        </w:tblPrEx>
        <w:trPr>
          <w:trHeight w:val="794" w:hRule="exact"/>
          <w:jc w:val="center"/>
        </w:trPr>
        <w:tc>
          <w:tcPr>
            <w:tcW w:w="974" w:type="dxa"/>
            <w:vMerge w:val="continue"/>
            <w:tcBorders>
              <w:left w:val="single" w:color="auto" w:sz="4" w:space="0"/>
              <w:right w:val="single" w:color="auto" w:sz="4" w:space="0"/>
            </w:tcBorders>
            <w:shd w:val="clear" w:color="auto" w:fill="FFFFFF"/>
            <w:noWrap w:val="0"/>
            <w:vAlign w:val="top"/>
          </w:tcPr>
          <w:p/>
        </w:tc>
        <w:tc>
          <w:tcPr>
            <w:tcW w:w="1157" w:type="dxa"/>
            <w:vMerge w:val="continue"/>
            <w:tcBorders>
              <w:left w:val="single" w:color="auto" w:sz="4" w:space="0"/>
              <w:right w:val="single" w:color="auto" w:sz="4" w:space="0"/>
            </w:tcBorders>
            <w:shd w:val="clear" w:color="auto" w:fill="FFFFFF"/>
            <w:noWrap w:val="0"/>
            <w:vAlign w:val="top"/>
          </w:tcPr>
          <w:p>
            <w:pPr>
              <w:widowControl w:val="0"/>
              <w:rPr>
                <w:sz w:val="10"/>
                <w:szCs w:val="10"/>
              </w:rPr>
            </w:pPr>
          </w:p>
        </w:tc>
        <w:tc>
          <w:tcPr>
            <w:tcW w:w="18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leftChars="0" w:right="0" w:rightChars="0" w:firstLine="300" w:firstLineChars="0"/>
              <w:jc w:val="left"/>
              <w:rPr>
                <w:color w:val="000000"/>
                <w:spacing w:val="0"/>
                <w:w w:val="100"/>
                <w:position w:val="0"/>
                <w:sz w:val="17"/>
                <w:szCs w:val="17"/>
              </w:rPr>
            </w:pPr>
            <w:r>
              <w:rPr>
                <w:color w:val="000000"/>
                <w:spacing w:val="0"/>
                <w:w w:val="100"/>
                <w:position w:val="0"/>
                <w:sz w:val="17"/>
                <w:szCs w:val="17"/>
              </w:rPr>
              <w:t>专项资金细化率</w:t>
            </w:r>
          </w:p>
        </w:tc>
        <w:tc>
          <w:tcPr>
            <w:tcW w:w="7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leftChars="0" w:right="0" w:rightChars="0" w:firstLine="160" w:firstLineChars="0"/>
              <w:jc w:val="left"/>
              <w:rPr>
                <w:b/>
                <w:bCs/>
                <w:color w:val="000000"/>
                <w:spacing w:val="0"/>
                <w:w w:val="100"/>
                <w:position w:val="0"/>
                <w:sz w:val="17"/>
                <w:szCs w:val="17"/>
              </w:rPr>
            </w:pPr>
            <w:r>
              <w:rPr>
                <w:color w:val="000000"/>
                <w:spacing w:val="0"/>
                <w:w w:val="100"/>
                <w:position w:val="0"/>
                <w:sz w:val="16"/>
                <w:szCs w:val="16"/>
                <w:lang w:val="en-US" w:eastAsia="en-US" w:bidi="en-US"/>
              </w:rPr>
              <w:t>N90%</w:t>
            </w:r>
          </w:p>
        </w:tc>
        <w:tc>
          <w:tcPr>
            <w:tcW w:w="60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26" w:lineRule="exact"/>
              <w:ind w:left="0" w:leftChars="0" w:right="0" w:rightChars="0" w:firstLine="0" w:firstLineChars="0"/>
              <w:jc w:val="both"/>
              <w:rPr>
                <w:color w:val="000000"/>
                <w:spacing w:val="0"/>
                <w:w w:val="100"/>
                <w:position w:val="0"/>
                <w:sz w:val="16"/>
                <w:szCs w:val="16"/>
                <w:lang w:val="en-US" w:eastAsia="en-US" w:bidi="en-US"/>
              </w:rPr>
            </w:pPr>
            <w:r>
              <w:rPr>
                <w:color w:val="000000"/>
                <w:spacing w:val="0"/>
                <w:w w:val="100"/>
                <w:position w:val="0"/>
                <w:sz w:val="17"/>
                <w:szCs w:val="17"/>
              </w:rPr>
              <w:t>专项资金细化率=（巳细化到具体市县和承担单位的资金数/部门参与分 配资金总数）</w:t>
            </w:r>
            <w:r>
              <w:rPr>
                <w:color w:val="000000"/>
                <w:spacing w:val="0"/>
                <w:w w:val="100"/>
                <w:position w:val="0"/>
                <w:sz w:val="16"/>
                <w:szCs w:val="16"/>
                <w:lang w:val="en-US" w:eastAsia="en-US" w:bidi="en-US"/>
              </w:rPr>
              <w:t>X100»</w:t>
            </w:r>
          </w:p>
        </w:tc>
      </w:tr>
      <w:tr>
        <w:tblPrEx>
          <w:tblCellMar>
            <w:top w:w="0" w:type="dxa"/>
            <w:left w:w="10" w:type="dxa"/>
            <w:bottom w:w="0" w:type="dxa"/>
            <w:right w:w="10" w:type="dxa"/>
          </w:tblCellMar>
        </w:tblPrEx>
        <w:trPr>
          <w:trHeight w:val="794" w:hRule="exact"/>
          <w:jc w:val="center"/>
        </w:trPr>
        <w:tc>
          <w:tcPr>
            <w:tcW w:w="974" w:type="dxa"/>
            <w:vMerge w:val="continue"/>
            <w:tcBorders>
              <w:left w:val="single" w:color="auto" w:sz="4" w:space="0"/>
              <w:bottom w:val="single" w:color="auto" w:sz="4" w:space="0"/>
              <w:right w:val="single" w:color="auto" w:sz="4" w:space="0"/>
            </w:tcBorders>
            <w:shd w:val="clear" w:color="auto" w:fill="FFFFFF"/>
            <w:noWrap w:val="0"/>
            <w:vAlign w:val="top"/>
          </w:tcPr>
          <w:p/>
        </w:tc>
        <w:tc>
          <w:tcPr>
            <w:tcW w:w="1157" w:type="dxa"/>
            <w:vMerge w:val="continue"/>
            <w:tcBorders>
              <w:left w:val="single" w:color="auto" w:sz="4" w:space="0"/>
              <w:bottom w:val="single" w:color="auto" w:sz="4" w:space="0"/>
              <w:right w:val="single" w:color="auto" w:sz="4" w:space="0"/>
            </w:tcBorders>
            <w:shd w:val="clear" w:color="auto" w:fill="FFFFFF"/>
            <w:noWrap w:val="0"/>
            <w:vAlign w:val="top"/>
          </w:tcPr>
          <w:p>
            <w:pPr>
              <w:widowControl w:val="0"/>
              <w:rPr>
                <w:sz w:val="10"/>
                <w:szCs w:val="10"/>
              </w:rPr>
            </w:pPr>
          </w:p>
        </w:tc>
        <w:tc>
          <w:tcPr>
            <w:tcW w:w="18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leftChars="0" w:right="0" w:rightChars="0" w:firstLine="0" w:firstLineChars="0"/>
              <w:jc w:val="center"/>
              <w:rPr>
                <w:color w:val="000000"/>
                <w:spacing w:val="0"/>
                <w:w w:val="100"/>
                <w:position w:val="0"/>
                <w:sz w:val="17"/>
                <w:szCs w:val="17"/>
              </w:rPr>
            </w:pPr>
            <w:r>
              <w:rPr>
                <w:color w:val="000000"/>
                <w:spacing w:val="0"/>
                <w:w w:val="100"/>
                <w:position w:val="0"/>
                <w:sz w:val="17"/>
                <w:szCs w:val="17"/>
              </w:rPr>
              <w:t>预算执行率</w:t>
            </w:r>
          </w:p>
        </w:tc>
        <w:tc>
          <w:tcPr>
            <w:tcW w:w="7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leftChars="0" w:right="0" w:rightChars="0" w:firstLine="160" w:firstLineChars="0"/>
              <w:jc w:val="left"/>
              <w:rPr>
                <w:b/>
                <w:bCs/>
                <w:color w:val="000000"/>
                <w:spacing w:val="0"/>
                <w:w w:val="100"/>
                <w:position w:val="0"/>
                <w:sz w:val="17"/>
                <w:szCs w:val="17"/>
              </w:rPr>
            </w:pPr>
            <w:r>
              <w:rPr>
                <w:color w:val="000000"/>
                <w:spacing w:val="0"/>
                <w:w w:val="100"/>
                <w:position w:val="0"/>
                <w:sz w:val="16"/>
                <w:szCs w:val="16"/>
              </w:rPr>
              <w:t>&gt;90%</w:t>
            </w:r>
          </w:p>
        </w:tc>
        <w:tc>
          <w:tcPr>
            <w:tcW w:w="60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5" w:lineRule="exact"/>
              <w:ind w:left="0" w:leftChars="0" w:right="0" w:rightChars="0" w:firstLine="0" w:firstLineChars="0"/>
              <w:jc w:val="left"/>
              <w:rPr>
                <w:color w:val="000000"/>
                <w:spacing w:val="0"/>
                <w:w w:val="100"/>
                <w:position w:val="0"/>
                <w:sz w:val="16"/>
                <w:szCs w:val="16"/>
                <w:lang w:val="en-US" w:eastAsia="en-US" w:bidi="en-US"/>
              </w:rPr>
            </w:pPr>
            <w:r>
              <w:rPr>
                <w:color w:val="000000"/>
                <w:spacing w:val="0"/>
                <w:w w:val="100"/>
                <w:position w:val="0"/>
                <w:sz w:val="17"/>
                <w:szCs w:val="17"/>
              </w:rPr>
              <w:t>预算执行率=（预算完成数/预算数）</w:t>
            </w:r>
            <w:r>
              <w:rPr>
                <w:color w:val="000000"/>
                <w:spacing w:val="0"/>
                <w:w w:val="100"/>
                <w:position w:val="0"/>
                <w:sz w:val="16"/>
                <w:szCs w:val="16"/>
                <w:lang w:val="en-US" w:eastAsia="en-US" w:bidi="en-US"/>
              </w:rPr>
              <w:t>X100%</w:t>
            </w:r>
            <w:r>
              <w:rPr>
                <w:color w:val="000000"/>
                <w:spacing w:val="0"/>
                <w:w w:val="100"/>
                <w:position w:val="0"/>
                <w:sz w:val="16"/>
                <w:szCs w:val="16"/>
                <w:vertAlign w:val="subscript"/>
                <w:lang w:val="en-US" w:eastAsia="en-US" w:bidi="en-US"/>
              </w:rPr>
              <w:t>o</w:t>
            </w:r>
            <w:r>
              <w:rPr>
                <w:color w:val="000000"/>
                <w:spacing w:val="0"/>
                <w:w w:val="100"/>
                <w:position w:val="0"/>
                <w:sz w:val="17"/>
                <w:szCs w:val="17"/>
              </w:rPr>
              <w:t>预算完成数指部门实际执 行的预算数；预算数指财政部门批复的本年度部门的（调整）预算数。</w:t>
            </w:r>
          </w:p>
        </w:tc>
      </w:tr>
    </w:tbl>
    <w:p>
      <w:pPr>
        <w:sectPr>
          <w:pgSz w:w="11906" w:h="16838"/>
          <w:pgMar w:top="873" w:right="102" w:bottom="873" w:left="669" w:header="851" w:footer="992" w:gutter="0"/>
          <w:cols w:space="720" w:num="1"/>
          <w:rtlGutter w:val="0"/>
          <w:docGrid w:type="lines" w:linePitch="312" w:charSpace="0"/>
        </w:sectPr>
      </w:pPr>
    </w:p>
    <w:tbl>
      <w:tblPr>
        <w:tblStyle w:val="5"/>
        <w:tblpPr w:leftFromText="180" w:rightFromText="180" w:vertAnchor="text" w:horzAnchor="page" w:tblpX="863" w:tblpY="-427"/>
        <w:tblOverlap w:val="never"/>
        <w:tblW w:w="0" w:type="auto"/>
        <w:tblInd w:w="0" w:type="dxa"/>
        <w:tblLayout w:type="fixed"/>
        <w:tblCellMar>
          <w:top w:w="0" w:type="dxa"/>
          <w:left w:w="10" w:type="dxa"/>
          <w:bottom w:w="0" w:type="dxa"/>
          <w:right w:w="10" w:type="dxa"/>
        </w:tblCellMar>
      </w:tblPr>
      <w:tblGrid>
        <w:gridCol w:w="989"/>
        <w:gridCol w:w="1128"/>
        <w:gridCol w:w="1906"/>
        <w:gridCol w:w="739"/>
        <w:gridCol w:w="6029"/>
      </w:tblGrid>
      <w:tr>
        <w:tblPrEx>
          <w:tblCellMar>
            <w:top w:w="0" w:type="dxa"/>
            <w:left w:w="10" w:type="dxa"/>
            <w:bottom w:w="0" w:type="dxa"/>
            <w:right w:w="10" w:type="dxa"/>
          </w:tblCellMar>
        </w:tblPrEx>
        <w:trPr>
          <w:trHeight w:val="494" w:hRule="exact"/>
        </w:trPr>
        <w:tc>
          <w:tcPr>
            <w:tcW w:w="989"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left"/>
              <w:rPr>
                <w:sz w:val="20"/>
                <w:szCs w:val="20"/>
              </w:rPr>
            </w:pPr>
            <w:r>
              <w:rPr>
                <w:rFonts w:hint="eastAsia"/>
                <w:b/>
                <w:bCs/>
                <w:color w:val="000000"/>
                <w:spacing w:val="0"/>
                <w:w w:val="100"/>
                <w:position w:val="0"/>
                <w:sz w:val="20"/>
                <w:szCs w:val="20"/>
                <w:lang w:val="en-US" w:eastAsia="zh-CN" w:bidi="zh-CN"/>
              </w:rPr>
              <w:t>一</w:t>
            </w:r>
            <w:r>
              <w:rPr>
                <w:b/>
                <w:bCs/>
                <w:color w:val="000000"/>
                <w:spacing w:val="0"/>
                <w:w w:val="100"/>
                <w:position w:val="0"/>
                <w:sz w:val="20"/>
                <w:szCs w:val="20"/>
              </w:rPr>
              <w:t>级指标</w:t>
            </w:r>
          </w:p>
        </w:tc>
        <w:tc>
          <w:tcPr>
            <w:tcW w:w="1128"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140"/>
              <w:jc w:val="left"/>
              <w:rPr>
                <w:sz w:val="20"/>
                <w:szCs w:val="20"/>
              </w:rPr>
            </w:pPr>
            <w:r>
              <w:rPr>
                <w:b/>
                <w:bCs/>
                <w:color w:val="000000"/>
                <w:spacing w:val="0"/>
                <w:w w:val="100"/>
                <w:position w:val="0"/>
                <w:sz w:val="20"/>
                <w:szCs w:val="20"/>
              </w:rPr>
              <w:t>二级指标</w:t>
            </w:r>
          </w:p>
        </w:tc>
        <w:tc>
          <w:tcPr>
            <w:tcW w:w="1906"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520"/>
              <w:jc w:val="left"/>
              <w:rPr>
                <w:sz w:val="20"/>
                <w:szCs w:val="20"/>
              </w:rPr>
            </w:pPr>
            <w:r>
              <w:rPr>
                <w:b/>
                <w:bCs/>
                <w:color w:val="000000"/>
                <w:spacing w:val="0"/>
                <w:w w:val="100"/>
                <w:position w:val="0"/>
                <w:sz w:val="20"/>
                <w:szCs w:val="20"/>
              </w:rPr>
              <w:t>三级指标</w:t>
            </w:r>
          </w:p>
        </w:tc>
        <w:tc>
          <w:tcPr>
            <w:tcW w:w="739"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指标值</w:t>
            </w:r>
          </w:p>
        </w:tc>
        <w:tc>
          <w:tcPr>
            <w:tcW w:w="6029" w:type="dxa"/>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指标说明</w:t>
            </w:r>
          </w:p>
        </w:tc>
      </w:tr>
      <w:tr>
        <w:tblPrEx>
          <w:tblCellMar>
            <w:top w:w="0" w:type="dxa"/>
            <w:left w:w="10" w:type="dxa"/>
            <w:bottom w:w="0" w:type="dxa"/>
            <w:right w:w="10" w:type="dxa"/>
          </w:tblCellMar>
        </w:tblPrEx>
        <w:trPr>
          <w:trHeight w:val="893" w:hRule="exact"/>
        </w:trPr>
        <w:tc>
          <w:tcPr>
            <w:tcW w:w="989" w:type="dxa"/>
            <w:vMerge w:val="restart"/>
            <w:tcBorders>
              <w:top w:val="single" w:color="auto" w:sz="4" w:space="0"/>
              <w:left w:val="single" w:color="auto" w:sz="4" w:space="0"/>
            </w:tcBorders>
            <w:shd w:val="clear" w:color="auto" w:fill="FFFFFF"/>
            <w:noWrap w:val="0"/>
            <w:vAlign w:val="top"/>
          </w:tcPr>
          <w:p>
            <w:pPr>
              <w:pStyle w:val="10"/>
              <w:keepNext w:val="0"/>
              <w:keepLines w:val="0"/>
              <w:widowControl w:val="0"/>
              <w:shd w:val="clear" w:color="auto" w:fill="auto"/>
              <w:bidi w:val="0"/>
              <w:spacing w:before="2940" w:after="0" w:line="226" w:lineRule="exact"/>
              <w:ind w:left="0" w:right="0" w:firstLine="0"/>
              <w:jc w:val="center"/>
              <w:rPr>
                <w:sz w:val="17"/>
                <w:szCs w:val="17"/>
              </w:rPr>
            </w:pPr>
            <w:r>
              <w:rPr>
                <w:color w:val="000000"/>
                <w:spacing w:val="0"/>
                <w:w w:val="100"/>
                <w:position w:val="0"/>
                <w:sz w:val="17"/>
                <w:szCs w:val="17"/>
              </w:rPr>
              <w:t>投入管理 指标</w:t>
            </w:r>
          </w:p>
        </w:tc>
        <w:tc>
          <w:tcPr>
            <w:tcW w:w="1128" w:type="dxa"/>
            <w:vMerge w:val="restart"/>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16" w:lineRule="exact"/>
              <w:ind w:left="0" w:right="0" w:firstLine="0"/>
              <w:jc w:val="center"/>
              <w:rPr>
                <w:sz w:val="17"/>
                <w:szCs w:val="17"/>
              </w:rPr>
            </w:pPr>
            <w:r>
              <w:rPr>
                <w:color w:val="000000"/>
                <w:spacing w:val="0"/>
                <w:w w:val="100"/>
                <w:position w:val="0"/>
                <w:sz w:val="17"/>
                <w:szCs w:val="17"/>
              </w:rPr>
              <w:t>预算和财务 管理</w:t>
            </w:r>
          </w:p>
        </w:tc>
        <w:tc>
          <w:tcPr>
            <w:tcW w:w="1906"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440"/>
              <w:jc w:val="left"/>
              <w:rPr>
                <w:sz w:val="17"/>
                <w:szCs w:val="17"/>
              </w:rPr>
            </w:pPr>
            <w:r>
              <w:rPr>
                <w:color w:val="000000"/>
                <w:spacing w:val="0"/>
                <w:w w:val="100"/>
                <w:position w:val="0"/>
                <w:sz w:val="17"/>
                <w:szCs w:val="17"/>
              </w:rPr>
              <w:t>预算调整率</w:t>
            </w:r>
          </w:p>
        </w:tc>
        <w:tc>
          <w:tcPr>
            <w:tcW w:w="739"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lang w:val="en-US" w:eastAsia="en-US" w:bidi="en-US"/>
              </w:rPr>
              <w:t>W10%</w:t>
            </w:r>
          </w:p>
        </w:tc>
        <w:tc>
          <w:tcPr>
            <w:tcW w:w="6029" w:type="dxa"/>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27" w:lineRule="exact"/>
              <w:ind w:left="0" w:right="0" w:firstLine="0"/>
              <w:jc w:val="left"/>
              <w:rPr>
                <w:sz w:val="17"/>
                <w:szCs w:val="17"/>
              </w:rPr>
            </w:pPr>
            <w:r>
              <w:rPr>
                <w:color w:val="000000"/>
                <w:spacing w:val="0"/>
                <w:w w:val="100"/>
                <w:position w:val="0"/>
                <w:sz w:val="17"/>
                <w:szCs w:val="17"/>
              </w:rPr>
              <w:t>预算调整率=（预算调整数一年初预算数）/年初预算数</w:t>
            </w:r>
            <w:r>
              <w:rPr>
                <w:color w:val="000000"/>
                <w:spacing w:val="0"/>
                <w:w w:val="100"/>
                <w:position w:val="0"/>
                <w:sz w:val="16"/>
                <w:szCs w:val="16"/>
                <w:lang w:val="en-US" w:eastAsia="en-US" w:bidi="en-US"/>
              </w:rPr>
              <w:t>X100%</w:t>
            </w:r>
            <w:r>
              <w:rPr>
                <w:color w:val="000000"/>
                <w:spacing w:val="0"/>
                <w:w w:val="100"/>
                <w:position w:val="0"/>
                <w:sz w:val="17"/>
                <w:szCs w:val="17"/>
                <w:lang w:val="en-US" w:eastAsia="en-US" w:bidi="en-US"/>
              </w:rPr>
              <w:t>。</w:t>
            </w:r>
            <w:r>
              <w:rPr>
                <w:color w:val="000000"/>
                <w:spacing w:val="0"/>
                <w:w w:val="100"/>
                <w:position w:val="0"/>
                <w:sz w:val="17"/>
                <w:szCs w:val="17"/>
              </w:rPr>
              <w:t>预算调 整数：部门在本年度内涉及预算的追加、追减或结构调整的资金总和（因 落实国家政策、发生不可抗力、上级部门或本级党委政府临时交办而产生 的调整除外）</w:t>
            </w:r>
          </w:p>
        </w:tc>
      </w:tr>
      <w:tr>
        <w:tblPrEx>
          <w:tblCellMar>
            <w:top w:w="0" w:type="dxa"/>
            <w:left w:w="10" w:type="dxa"/>
            <w:bottom w:w="0" w:type="dxa"/>
            <w:right w:w="10" w:type="dxa"/>
          </w:tblCellMar>
        </w:tblPrEx>
        <w:trPr>
          <w:trHeight w:val="686" w:hRule="exact"/>
        </w:trPr>
        <w:tc>
          <w:tcPr>
            <w:tcW w:w="989" w:type="dxa"/>
            <w:vMerge w:val="continue"/>
            <w:tcBorders>
              <w:left w:val="single" w:color="auto" w:sz="4" w:space="0"/>
            </w:tcBorders>
            <w:shd w:val="clear" w:color="auto" w:fill="FFFFFF"/>
            <w:noWrap w:val="0"/>
            <w:vAlign w:val="top"/>
          </w:tcPr>
          <w:p/>
        </w:tc>
        <w:tc>
          <w:tcPr>
            <w:tcW w:w="1128" w:type="dxa"/>
            <w:vMerge w:val="continue"/>
            <w:tcBorders>
              <w:left w:val="single" w:color="auto" w:sz="4" w:space="0"/>
            </w:tcBorders>
            <w:shd w:val="clear" w:color="auto" w:fill="FFFFFF"/>
            <w:noWrap w:val="0"/>
            <w:vAlign w:val="center"/>
          </w:tcPr>
          <w:p/>
        </w:tc>
        <w:tc>
          <w:tcPr>
            <w:tcW w:w="1906"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结转结余变动率</w:t>
            </w:r>
          </w:p>
        </w:tc>
        <w:tc>
          <w:tcPr>
            <w:tcW w:w="739"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lang w:val="en-US" w:eastAsia="en-US" w:bidi="en-US"/>
              </w:rPr>
              <w:t>W10%</w:t>
            </w:r>
          </w:p>
        </w:tc>
        <w:tc>
          <w:tcPr>
            <w:tcW w:w="6029" w:type="dxa"/>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2" w:lineRule="exact"/>
              <w:ind w:left="0" w:right="0" w:firstLine="0"/>
              <w:jc w:val="left"/>
              <w:rPr>
                <w:sz w:val="17"/>
                <w:szCs w:val="17"/>
              </w:rPr>
            </w:pPr>
            <w:r>
              <w:rPr>
                <w:color w:val="000000"/>
                <w:spacing w:val="0"/>
                <w:w w:val="100"/>
                <w:position w:val="0"/>
                <w:sz w:val="17"/>
                <w:szCs w:val="17"/>
              </w:rPr>
              <w:t>结转结余率=结转结余总额/预算数</w:t>
            </w:r>
            <w:r>
              <w:rPr>
                <w:color w:val="000000"/>
                <w:spacing w:val="0"/>
                <w:w w:val="100"/>
                <w:position w:val="0"/>
                <w:sz w:val="16"/>
                <w:szCs w:val="16"/>
              </w:rPr>
              <w:t>*100%</w:t>
            </w:r>
            <w:r>
              <w:rPr>
                <w:color w:val="000000"/>
                <w:spacing w:val="0"/>
                <w:w w:val="100"/>
                <w:position w:val="0"/>
                <w:sz w:val="17"/>
                <w:szCs w:val="17"/>
              </w:rPr>
              <w:t>。结转结余总额是指部门本年度 的结转结余资金之和。预算数是指财政部门批复的本年度部门的（调整） 預尊数。</w:t>
            </w:r>
          </w:p>
        </w:tc>
      </w:tr>
      <w:tr>
        <w:tblPrEx>
          <w:tblCellMar>
            <w:top w:w="0" w:type="dxa"/>
            <w:left w:w="10" w:type="dxa"/>
            <w:bottom w:w="0" w:type="dxa"/>
            <w:right w:w="10" w:type="dxa"/>
          </w:tblCellMar>
        </w:tblPrEx>
        <w:trPr>
          <w:trHeight w:val="624" w:hRule="exact"/>
        </w:trPr>
        <w:tc>
          <w:tcPr>
            <w:tcW w:w="989" w:type="dxa"/>
            <w:vMerge w:val="continue"/>
            <w:tcBorders>
              <w:left w:val="single" w:color="auto" w:sz="4" w:space="0"/>
            </w:tcBorders>
            <w:shd w:val="clear" w:color="auto" w:fill="FFFFFF"/>
            <w:noWrap w:val="0"/>
            <w:vAlign w:val="top"/>
          </w:tcPr>
          <w:p/>
        </w:tc>
        <w:tc>
          <w:tcPr>
            <w:tcW w:w="1128" w:type="dxa"/>
            <w:vMerge w:val="continue"/>
            <w:tcBorders>
              <w:left w:val="single" w:color="auto" w:sz="4" w:space="0"/>
            </w:tcBorders>
            <w:shd w:val="clear" w:color="auto" w:fill="FFFFFF"/>
            <w:noWrap w:val="0"/>
            <w:vAlign w:val="center"/>
          </w:tcPr>
          <w:p/>
        </w:tc>
        <w:tc>
          <w:tcPr>
            <w:tcW w:w="1906"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zh-CN" w:eastAsia="zh-CN" w:bidi="zh-CN"/>
              </w:rPr>
              <w:t>“三公</w:t>
            </w:r>
            <w:r>
              <w:rPr>
                <w:color w:val="000000"/>
                <w:spacing w:val="0"/>
                <w:w w:val="100"/>
                <w:position w:val="0"/>
                <w:sz w:val="17"/>
                <w:szCs w:val="17"/>
              </w:rPr>
              <w:t>经费”控制率</w:t>
            </w:r>
          </w:p>
        </w:tc>
        <w:tc>
          <w:tcPr>
            <w:tcW w:w="739"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i/>
                <w:iCs/>
                <w:color w:val="000000"/>
                <w:spacing w:val="0"/>
                <w:w w:val="100"/>
                <w:position w:val="0"/>
                <w:sz w:val="20"/>
                <w:szCs w:val="20"/>
                <w:lang w:val="en-US" w:eastAsia="en-US" w:bidi="en-US"/>
              </w:rPr>
              <w:t>W90%</w:t>
            </w:r>
          </w:p>
        </w:tc>
        <w:tc>
          <w:tcPr>
            <w:tcW w:w="6029" w:type="dxa"/>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26" w:lineRule="exact"/>
              <w:ind w:left="0" w:right="0" w:firstLine="0"/>
              <w:jc w:val="left"/>
              <w:rPr>
                <w:sz w:val="16"/>
                <w:szCs w:val="16"/>
              </w:rPr>
            </w:pPr>
            <w:r>
              <w:rPr>
                <w:color w:val="000000"/>
                <w:spacing w:val="0"/>
                <w:w w:val="100"/>
                <w:position w:val="0"/>
                <w:sz w:val="17"/>
                <w:szCs w:val="17"/>
                <w:lang w:val="zh-CN" w:eastAsia="zh-CN" w:bidi="zh-CN"/>
              </w:rPr>
              <w:t>“三公</w:t>
            </w:r>
            <w:r>
              <w:rPr>
                <w:color w:val="000000"/>
                <w:spacing w:val="0"/>
                <w:w w:val="100"/>
                <w:position w:val="0"/>
                <w:sz w:val="17"/>
                <w:szCs w:val="17"/>
              </w:rPr>
              <w:t>经费”控制率=本年度</w:t>
            </w:r>
            <w:r>
              <w:rPr>
                <w:color w:val="000000"/>
                <w:spacing w:val="0"/>
                <w:w w:val="100"/>
                <w:position w:val="0"/>
                <w:sz w:val="17"/>
                <w:szCs w:val="17"/>
                <w:lang w:val="zh-CN" w:eastAsia="zh-CN" w:bidi="zh-CN"/>
              </w:rPr>
              <w:t>“三公</w:t>
            </w:r>
            <w:r>
              <w:rPr>
                <w:color w:val="000000"/>
                <w:spacing w:val="0"/>
                <w:w w:val="100"/>
                <w:position w:val="0"/>
                <w:sz w:val="17"/>
                <w:szCs w:val="17"/>
              </w:rPr>
              <w:t xml:space="preserve">经费”实际支出数/ </w:t>
            </w:r>
            <w:r>
              <w:rPr>
                <w:color w:val="000000"/>
                <w:spacing w:val="0"/>
                <w:w w:val="100"/>
                <w:position w:val="0"/>
                <w:sz w:val="17"/>
                <w:szCs w:val="17"/>
                <w:lang w:val="zh-CN" w:eastAsia="zh-CN" w:bidi="zh-CN"/>
              </w:rPr>
              <w:t>“三公</w:t>
            </w:r>
            <w:r>
              <w:rPr>
                <w:color w:val="000000"/>
                <w:spacing w:val="0"/>
                <w:w w:val="100"/>
                <w:position w:val="0"/>
                <w:sz w:val="17"/>
                <w:szCs w:val="17"/>
              </w:rPr>
              <w:t>经费”预 算数</w:t>
            </w:r>
            <w:r>
              <w:rPr>
                <w:color w:val="000000"/>
                <w:spacing w:val="0"/>
                <w:w w:val="100"/>
                <w:position w:val="0"/>
                <w:sz w:val="16"/>
                <w:szCs w:val="16"/>
              </w:rPr>
              <w:t>*100%</w:t>
            </w:r>
          </w:p>
        </w:tc>
      </w:tr>
      <w:tr>
        <w:tblPrEx>
          <w:tblCellMar>
            <w:top w:w="0" w:type="dxa"/>
            <w:left w:w="10" w:type="dxa"/>
            <w:bottom w:w="0" w:type="dxa"/>
            <w:right w:w="10" w:type="dxa"/>
          </w:tblCellMar>
        </w:tblPrEx>
        <w:trPr>
          <w:trHeight w:val="773" w:hRule="exact"/>
        </w:trPr>
        <w:tc>
          <w:tcPr>
            <w:tcW w:w="989" w:type="dxa"/>
            <w:vMerge w:val="continue"/>
            <w:tcBorders>
              <w:left w:val="single" w:color="auto" w:sz="4" w:space="0"/>
            </w:tcBorders>
            <w:shd w:val="clear" w:color="auto" w:fill="FFFFFF"/>
            <w:noWrap w:val="0"/>
            <w:vAlign w:val="top"/>
          </w:tcPr>
          <w:p/>
        </w:tc>
        <w:tc>
          <w:tcPr>
            <w:tcW w:w="1128" w:type="dxa"/>
            <w:vMerge w:val="continue"/>
            <w:tcBorders>
              <w:left w:val="single" w:color="auto" w:sz="4" w:space="0"/>
            </w:tcBorders>
            <w:shd w:val="clear" w:color="auto" w:fill="FFFFFF"/>
            <w:noWrap w:val="0"/>
            <w:vAlign w:val="center"/>
          </w:tcPr>
          <w:p/>
        </w:tc>
        <w:tc>
          <w:tcPr>
            <w:tcW w:w="1906"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政府釆购执行率</w:t>
            </w:r>
          </w:p>
        </w:tc>
        <w:tc>
          <w:tcPr>
            <w:tcW w:w="739"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left"/>
              <w:rPr>
                <w:sz w:val="16"/>
                <w:szCs w:val="16"/>
              </w:rPr>
            </w:pPr>
            <w:r>
              <w:rPr>
                <w:rFonts w:hint="eastAsia"/>
                <w:color w:val="000000"/>
                <w:spacing w:val="0"/>
                <w:w w:val="100"/>
                <w:position w:val="0"/>
                <w:sz w:val="16"/>
                <w:szCs w:val="16"/>
                <w:lang w:val="en-US" w:eastAsia="zh-CN"/>
              </w:rPr>
              <w:t>15</w:t>
            </w:r>
            <w:r>
              <w:rPr>
                <w:color w:val="000000"/>
                <w:spacing w:val="0"/>
                <w:w w:val="100"/>
                <w:position w:val="0"/>
                <w:sz w:val="16"/>
                <w:szCs w:val="16"/>
              </w:rPr>
              <w:t>%</w:t>
            </w:r>
          </w:p>
        </w:tc>
        <w:tc>
          <w:tcPr>
            <w:tcW w:w="6029" w:type="dxa"/>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28" w:lineRule="exact"/>
              <w:ind w:left="0" w:right="0" w:firstLine="0"/>
              <w:jc w:val="left"/>
              <w:rPr>
                <w:sz w:val="17"/>
                <w:szCs w:val="17"/>
              </w:rPr>
            </w:pPr>
            <w:r>
              <w:rPr>
                <w:color w:val="000000"/>
                <w:spacing w:val="0"/>
                <w:w w:val="100"/>
                <w:position w:val="0"/>
                <w:sz w:val="17"/>
                <w:szCs w:val="17"/>
              </w:rPr>
              <w:t>政府釆购执行率=（实际政府釆购金额/政府釆购预算数）政府釆购预算：釆购机关根据事业发展计划和行政任务编制的、并经过规定程 序批准的年度政府釆购计划。</w:t>
            </w:r>
          </w:p>
        </w:tc>
      </w:tr>
      <w:tr>
        <w:tblPrEx>
          <w:tblCellMar>
            <w:top w:w="0" w:type="dxa"/>
            <w:left w:w="10" w:type="dxa"/>
            <w:bottom w:w="0" w:type="dxa"/>
            <w:right w:w="10" w:type="dxa"/>
          </w:tblCellMar>
        </w:tblPrEx>
        <w:trPr>
          <w:trHeight w:val="576" w:hRule="exact"/>
        </w:trPr>
        <w:tc>
          <w:tcPr>
            <w:tcW w:w="989" w:type="dxa"/>
            <w:vMerge w:val="continue"/>
            <w:tcBorders>
              <w:left w:val="single" w:color="auto" w:sz="4" w:space="0"/>
            </w:tcBorders>
            <w:shd w:val="clear" w:color="auto" w:fill="FFFFFF"/>
            <w:noWrap w:val="0"/>
            <w:vAlign w:val="top"/>
          </w:tcPr>
          <w:p/>
        </w:tc>
        <w:tc>
          <w:tcPr>
            <w:tcW w:w="1128" w:type="dxa"/>
            <w:vMerge w:val="continue"/>
            <w:tcBorders>
              <w:left w:val="single" w:color="auto" w:sz="4" w:space="0"/>
            </w:tcBorders>
            <w:shd w:val="clear" w:color="auto" w:fill="FFFFFF"/>
            <w:noWrap w:val="0"/>
            <w:vAlign w:val="center"/>
          </w:tcPr>
          <w:p/>
        </w:tc>
        <w:tc>
          <w:tcPr>
            <w:tcW w:w="1906"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440"/>
              <w:jc w:val="left"/>
              <w:rPr>
                <w:sz w:val="17"/>
                <w:szCs w:val="17"/>
              </w:rPr>
            </w:pPr>
            <w:r>
              <w:rPr>
                <w:color w:val="000000"/>
                <w:spacing w:val="0"/>
                <w:w w:val="100"/>
                <w:position w:val="0"/>
                <w:sz w:val="17"/>
                <w:szCs w:val="17"/>
              </w:rPr>
              <w:t>决算真实性</w:t>
            </w:r>
          </w:p>
        </w:tc>
        <w:tc>
          <w:tcPr>
            <w:tcW w:w="739"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真实</w:t>
            </w:r>
          </w:p>
        </w:tc>
        <w:tc>
          <w:tcPr>
            <w:tcW w:w="6029" w:type="dxa"/>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26" w:lineRule="exact"/>
              <w:ind w:left="0" w:right="0" w:firstLine="0"/>
              <w:jc w:val="left"/>
              <w:rPr>
                <w:sz w:val="17"/>
                <w:szCs w:val="17"/>
              </w:rPr>
            </w:pPr>
            <w:r>
              <w:rPr>
                <w:color w:val="000000"/>
                <w:spacing w:val="0"/>
                <w:w w:val="100"/>
                <w:position w:val="0"/>
                <w:sz w:val="17"/>
                <w:szCs w:val="17"/>
              </w:rPr>
              <w:t>反映本部门决算工作情况。决算编制数据是否账表一致，即决算报表数据 与会计账簿数据是否一致。</w:t>
            </w:r>
          </w:p>
        </w:tc>
      </w:tr>
      <w:tr>
        <w:tblPrEx>
          <w:tblCellMar>
            <w:top w:w="0" w:type="dxa"/>
            <w:left w:w="10" w:type="dxa"/>
            <w:bottom w:w="0" w:type="dxa"/>
            <w:right w:w="10" w:type="dxa"/>
          </w:tblCellMar>
        </w:tblPrEx>
        <w:trPr>
          <w:trHeight w:val="1733" w:hRule="exact"/>
        </w:trPr>
        <w:tc>
          <w:tcPr>
            <w:tcW w:w="989" w:type="dxa"/>
            <w:vMerge w:val="continue"/>
            <w:tcBorders>
              <w:left w:val="single" w:color="auto" w:sz="4" w:space="0"/>
            </w:tcBorders>
            <w:shd w:val="clear" w:color="auto" w:fill="FFFFFF"/>
            <w:noWrap w:val="0"/>
            <w:vAlign w:val="top"/>
          </w:tcPr>
          <w:p/>
        </w:tc>
        <w:tc>
          <w:tcPr>
            <w:tcW w:w="1128" w:type="dxa"/>
            <w:vMerge w:val="continue"/>
            <w:tcBorders>
              <w:left w:val="single" w:color="auto" w:sz="4" w:space="0"/>
            </w:tcBorders>
            <w:shd w:val="clear" w:color="auto" w:fill="FFFFFF"/>
            <w:noWrap w:val="0"/>
            <w:vAlign w:val="center"/>
          </w:tcPr>
          <w:p/>
        </w:tc>
        <w:tc>
          <w:tcPr>
            <w:tcW w:w="1906"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资金使用合规性</w:t>
            </w:r>
          </w:p>
        </w:tc>
        <w:tc>
          <w:tcPr>
            <w:tcW w:w="739"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合规</w:t>
            </w:r>
          </w:p>
        </w:tc>
        <w:tc>
          <w:tcPr>
            <w:tcW w:w="6029" w:type="dxa"/>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30" w:lineRule="exact"/>
              <w:ind w:left="0" w:right="0" w:firstLine="0"/>
              <w:jc w:val="left"/>
              <w:rPr>
                <w:sz w:val="17"/>
                <w:szCs w:val="17"/>
              </w:rPr>
            </w:pPr>
            <w:r>
              <w:rPr>
                <w:color w:val="000000"/>
                <w:spacing w:val="0"/>
                <w:w w:val="100"/>
                <w:position w:val="0"/>
                <w:sz w:val="17"/>
                <w:szCs w:val="17"/>
              </w:rPr>
              <w:t>部门（单位）是否按照相关法律法规以及资金管理办法规定的用途使用预 算资金，用以反映和考核部门（单位）预算资金的规范运行情况。</w:t>
            </w:r>
            <w:r>
              <w:rPr>
                <w:color w:val="000000"/>
                <w:spacing w:val="0"/>
                <w:w w:val="100"/>
                <w:position w:val="0"/>
                <w:sz w:val="16"/>
                <w:szCs w:val="16"/>
                <w:lang w:val="en-US" w:eastAsia="en-US" w:bidi="en-US"/>
              </w:rPr>
              <w:t>1.</w:t>
            </w:r>
            <w:r>
              <w:rPr>
                <w:color w:val="000000"/>
                <w:spacing w:val="0"/>
                <w:w w:val="100"/>
                <w:position w:val="0"/>
                <w:sz w:val="17"/>
                <w:szCs w:val="17"/>
              </w:rPr>
              <w:t>是 否符合国家财经法规和财务管理制度规定以及有关专项资金管理办法的规 定；</w:t>
            </w:r>
            <w:r>
              <w:rPr>
                <w:color w:val="000000"/>
                <w:spacing w:val="0"/>
                <w:w w:val="100"/>
                <w:position w:val="0"/>
                <w:sz w:val="16"/>
                <w:szCs w:val="16"/>
                <w:lang w:val="en-US" w:eastAsia="en-US" w:bidi="en-US"/>
              </w:rPr>
              <w:t>2.</w:t>
            </w:r>
            <w:r>
              <w:rPr>
                <w:color w:val="000000"/>
                <w:spacing w:val="0"/>
                <w:w w:val="100"/>
                <w:position w:val="0"/>
                <w:sz w:val="17"/>
                <w:szCs w:val="17"/>
              </w:rPr>
              <w:t>资金的拨付是否有完整的审批程序和手续；</w:t>
            </w:r>
            <w:r>
              <w:rPr>
                <w:color w:val="000000"/>
                <w:spacing w:val="0"/>
                <w:w w:val="100"/>
                <w:position w:val="0"/>
                <w:sz w:val="16"/>
                <w:szCs w:val="16"/>
                <w:lang w:val="en-US" w:eastAsia="en-US" w:bidi="en-US"/>
              </w:rPr>
              <w:t>3.</w:t>
            </w:r>
            <w:r>
              <w:rPr>
                <w:color w:val="000000"/>
                <w:spacing w:val="0"/>
                <w:w w:val="100"/>
                <w:position w:val="0"/>
                <w:sz w:val="17"/>
                <w:szCs w:val="17"/>
              </w:rPr>
              <w:t>项目的重大开支是 否经过评估论证；</w:t>
            </w:r>
            <w:r>
              <w:rPr>
                <w:color w:val="000000"/>
                <w:spacing w:val="0"/>
                <w:w w:val="100"/>
                <w:position w:val="0"/>
                <w:sz w:val="16"/>
                <w:szCs w:val="16"/>
                <w:lang w:val="en-US" w:eastAsia="en-US" w:bidi="en-US"/>
              </w:rPr>
              <w:t>4,</w:t>
            </w:r>
            <w:r>
              <w:rPr>
                <w:color w:val="000000"/>
                <w:spacing w:val="0"/>
                <w:w w:val="100"/>
                <w:position w:val="0"/>
                <w:sz w:val="17"/>
                <w:szCs w:val="17"/>
              </w:rPr>
              <w:t>是否符合部门预算批复的用途；</w:t>
            </w:r>
            <w:r>
              <w:rPr>
                <w:color w:val="000000"/>
                <w:spacing w:val="0"/>
                <w:w w:val="100"/>
                <w:position w:val="0"/>
                <w:sz w:val="16"/>
                <w:szCs w:val="16"/>
                <w:lang w:val="en-US" w:eastAsia="en-US" w:bidi="en-US"/>
              </w:rPr>
              <w:t>5,</w:t>
            </w:r>
            <w:r>
              <w:rPr>
                <w:color w:val="000000"/>
                <w:spacing w:val="0"/>
                <w:w w:val="100"/>
                <w:position w:val="0"/>
                <w:sz w:val="17"/>
                <w:szCs w:val="17"/>
              </w:rPr>
              <w:t>是否存在截留支 出情况；</w:t>
            </w:r>
            <w:r>
              <w:rPr>
                <w:color w:val="000000"/>
                <w:spacing w:val="0"/>
                <w:w w:val="100"/>
                <w:position w:val="0"/>
                <w:sz w:val="16"/>
                <w:szCs w:val="16"/>
                <w:lang w:val="en-US" w:eastAsia="en-US" w:bidi="en-US"/>
              </w:rPr>
              <w:t>6.</w:t>
            </w:r>
            <w:r>
              <w:rPr>
                <w:color w:val="000000"/>
                <w:spacing w:val="0"/>
                <w:w w:val="100"/>
                <w:position w:val="0"/>
                <w:sz w:val="17"/>
                <w:szCs w:val="17"/>
              </w:rPr>
              <w:t>是否存在挤占支出情况；</w:t>
            </w:r>
            <w:r>
              <w:rPr>
                <w:color w:val="000000"/>
                <w:spacing w:val="0"/>
                <w:w w:val="100"/>
                <w:position w:val="0"/>
                <w:sz w:val="16"/>
                <w:szCs w:val="16"/>
                <w:lang w:val="en-US" w:eastAsia="en-US" w:bidi="en-US"/>
              </w:rPr>
              <w:t>7.</w:t>
            </w:r>
            <w:r>
              <w:rPr>
                <w:color w:val="000000"/>
                <w:spacing w:val="0"/>
                <w:w w:val="100"/>
                <w:position w:val="0"/>
                <w:sz w:val="17"/>
                <w:szCs w:val="17"/>
              </w:rPr>
              <w:t>是否存在挪用支出情况；</w:t>
            </w:r>
            <w:r>
              <w:rPr>
                <w:color w:val="000000"/>
                <w:spacing w:val="0"/>
                <w:w w:val="100"/>
                <w:position w:val="0"/>
                <w:sz w:val="16"/>
                <w:szCs w:val="16"/>
                <w:lang w:val="en-US" w:eastAsia="en-US" w:bidi="en-US"/>
              </w:rPr>
              <w:t>8,</w:t>
            </w:r>
            <w:r>
              <w:rPr>
                <w:color w:val="000000"/>
                <w:spacing w:val="0"/>
                <w:w w:val="100"/>
                <w:position w:val="0"/>
                <w:sz w:val="17"/>
                <w:szCs w:val="17"/>
              </w:rPr>
              <w:t xml:space="preserve">是 </w:t>
            </w:r>
            <w:r>
              <w:rPr>
                <w:color w:val="000000"/>
                <w:spacing w:val="0"/>
                <w:w w:val="100"/>
                <w:position w:val="0"/>
                <w:sz w:val="17"/>
                <w:szCs w:val="17"/>
                <w:lang w:val="zh-CN" w:eastAsia="zh-CN" w:bidi="zh-CN"/>
              </w:rPr>
              <w:t>|</w:t>
            </w:r>
            <w:r>
              <w:rPr>
                <w:color w:val="000000"/>
                <w:spacing w:val="0"/>
                <w:w w:val="100"/>
                <w:position w:val="0"/>
                <w:sz w:val="17"/>
                <w:szCs w:val="17"/>
              </w:rPr>
              <w:t>否存在虚列支出情况。</w:t>
            </w:r>
          </w:p>
        </w:tc>
      </w:tr>
      <w:tr>
        <w:tblPrEx>
          <w:tblCellMar>
            <w:top w:w="0" w:type="dxa"/>
            <w:left w:w="10" w:type="dxa"/>
            <w:bottom w:w="0" w:type="dxa"/>
            <w:right w:w="10" w:type="dxa"/>
          </w:tblCellMar>
        </w:tblPrEx>
        <w:trPr>
          <w:trHeight w:val="1176" w:hRule="exact"/>
        </w:trPr>
        <w:tc>
          <w:tcPr>
            <w:tcW w:w="989" w:type="dxa"/>
            <w:vMerge w:val="continue"/>
            <w:tcBorders>
              <w:left w:val="single" w:color="auto" w:sz="4" w:space="0"/>
            </w:tcBorders>
            <w:shd w:val="clear" w:color="auto" w:fill="FFFFFF"/>
            <w:noWrap w:val="0"/>
            <w:vAlign w:val="top"/>
          </w:tcPr>
          <w:p/>
        </w:tc>
        <w:tc>
          <w:tcPr>
            <w:tcW w:w="1128" w:type="dxa"/>
            <w:vMerge w:val="continue"/>
            <w:tcBorders>
              <w:left w:val="single" w:color="auto" w:sz="4" w:space="0"/>
            </w:tcBorders>
            <w:shd w:val="clear" w:color="auto" w:fill="FFFFFF"/>
            <w:noWrap w:val="0"/>
            <w:vAlign w:val="center"/>
          </w:tcPr>
          <w:p/>
        </w:tc>
        <w:tc>
          <w:tcPr>
            <w:tcW w:w="1906"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管理制度健全性</w:t>
            </w:r>
          </w:p>
        </w:tc>
        <w:tc>
          <w:tcPr>
            <w:tcW w:w="739"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健全</w:t>
            </w:r>
          </w:p>
        </w:tc>
        <w:tc>
          <w:tcPr>
            <w:tcW w:w="6029" w:type="dxa"/>
            <w:tcBorders>
              <w:top w:val="single" w:color="auto" w:sz="4" w:space="0"/>
              <w:left w:val="single" w:color="auto" w:sz="4" w:space="0"/>
              <w:righ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29" w:lineRule="exact"/>
              <w:ind w:left="0" w:right="0" w:firstLine="0"/>
              <w:jc w:val="both"/>
              <w:rPr>
                <w:sz w:val="17"/>
                <w:szCs w:val="17"/>
              </w:rPr>
            </w:pPr>
            <w:r>
              <w:rPr>
                <w:color w:val="000000"/>
                <w:spacing w:val="0"/>
                <w:w w:val="100"/>
                <w:position w:val="0"/>
                <w:sz w:val="17"/>
                <w:szCs w:val="17"/>
              </w:rPr>
              <w:t>部门（单位）为加强预算管理，规范财务行为而制定的管理制度是否健全 完整，用以反映和考核部门（单位）预算管理制度为完成主要职责或促成 事业发展的保障情况。</w:t>
            </w:r>
            <w:r>
              <w:rPr>
                <w:color w:val="000000"/>
                <w:spacing w:val="0"/>
                <w:w w:val="100"/>
                <w:position w:val="0"/>
                <w:sz w:val="16"/>
                <w:szCs w:val="16"/>
                <w:lang w:val="en-US" w:eastAsia="en-US" w:bidi="en-US"/>
              </w:rPr>
              <w:t>1.</w:t>
            </w:r>
            <w:r>
              <w:rPr>
                <w:color w:val="000000"/>
                <w:spacing w:val="0"/>
                <w:w w:val="100"/>
                <w:position w:val="0"/>
                <w:sz w:val="17"/>
                <w:szCs w:val="17"/>
              </w:rPr>
              <w:t>是否已制定或具有预算资金管理办法、内部管 理制度、会计核算制度、会计岗位制度等管理制度；</w:t>
            </w:r>
            <w:r>
              <w:rPr>
                <w:color w:val="000000"/>
                <w:spacing w:val="0"/>
                <w:w w:val="100"/>
                <w:position w:val="0"/>
                <w:sz w:val="16"/>
                <w:szCs w:val="16"/>
              </w:rPr>
              <w:t>2</w:t>
            </w:r>
            <w:r>
              <w:rPr>
                <w:color w:val="000000"/>
                <w:spacing w:val="0"/>
                <w:w w:val="100"/>
                <w:position w:val="0"/>
                <w:sz w:val="17"/>
                <w:szCs w:val="17"/>
              </w:rPr>
              <w:t>.相关管理制度是 否得到有效执行。</w:t>
            </w:r>
          </w:p>
        </w:tc>
      </w:tr>
      <w:tr>
        <w:tblPrEx>
          <w:tblCellMar>
            <w:top w:w="0" w:type="dxa"/>
            <w:left w:w="10" w:type="dxa"/>
            <w:bottom w:w="0" w:type="dxa"/>
            <w:right w:w="10" w:type="dxa"/>
          </w:tblCellMar>
        </w:tblPrEx>
        <w:trPr>
          <w:trHeight w:val="926" w:hRule="exact"/>
        </w:trPr>
        <w:tc>
          <w:tcPr>
            <w:tcW w:w="989" w:type="dxa"/>
            <w:vMerge w:val="continue"/>
            <w:tcBorders>
              <w:left w:val="single" w:color="auto" w:sz="4" w:space="0"/>
            </w:tcBorders>
            <w:shd w:val="clear" w:color="auto" w:fill="FFFFFF"/>
            <w:noWrap w:val="0"/>
            <w:vAlign w:val="top"/>
          </w:tcPr>
          <w:p/>
        </w:tc>
        <w:tc>
          <w:tcPr>
            <w:tcW w:w="1128" w:type="dxa"/>
            <w:vMerge w:val="continue"/>
            <w:tcBorders>
              <w:left w:val="single" w:color="auto" w:sz="4" w:space="0"/>
            </w:tcBorders>
            <w:shd w:val="clear" w:color="auto" w:fill="FFFFFF"/>
            <w:noWrap w:val="0"/>
            <w:vAlign w:val="center"/>
          </w:tcPr>
          <w:p/>
        </w:tc>
        <w:tc>
          <w:tcPr>
            <w:tcW w:w="1906"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预算决算信息公开性</w:t>
            </w:r>
          </w:p>
        </w:tc>
        <w:tc>
          <w:tcPr>
            <w:tcW w:w="739"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vertAlign w:val="superscript"/>
              </w:rPr>
              <w:t>1</w:t>
            </w:r>
            <w:r>
              <w:rPr>
                <w:color w:val="000000"/>
                <w:spacing w:val="0"/>
                <w:w w:val="100"/>
                <w:position w:val="0"/>
                <w:sz w:val="17"/>
                <w:szCs w:val="17"/>
              </w:rPr>
              <w:t>公开</w:t>
            </w:r>
          </w:p>
        </w:tc>
        <w:tc>
          <w:tcPr>
            <w:tcW w:w="6029" w:type="dxa"/>
            <w:tcBorders>
              <w:top w:val="single" w:color="auto" w:sz="4" w:space="0"/>
              <w:left w:val="single" w:color="auto" w:sz="4" w:space="0"/>
              <w:righ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30" w:lineRule="exact"/>
              <w:ind w:left="0" w:right="0" w:firstLine="0"/>
              <w:jc w:val="both"/>
              <w:rPr>
                <w:sz w:val="17"/>
                <w:szCs w:val="17"/>
              </w:rPr>
            </w:pPr>
            <w:r>
              <w:rPr>
                <w:color w:val="000000"/>
                <w:spacing w:val="0"/>
                <w:w w:val="100"/>
                <w:position w:val="0"/>
                <w:sz w:val="17"/>
                <w:szCs w:val="17"/>
              </w:rPr>
              <w:t>部门（单位）是否按照政府信息公开有关规定公开部门预算、执行、决算 、监督、绩效等相关预决算信息，用以反映和考核部门（单位）预决算管 理的公开透明情况。</w:t>
            </w:r>
            <w:r>
              <w:rPr>
                <w:color w:val="000000"/>
                <w:spacing w:val="0"/>
                <w:w w:val="100"/>
                <w:position w:val="0"/>
                <w:sz w:val="16"/>
                <w:szCs w:val="16"/>
                <w:lang w:val="en-US" w:eastAsia="en-US" w:bidi="en-US"/>
              </w:rPr>
              <w:t>1.</w:t>
            </w:r>
            <w:r>
              <w:rPr>
                <w:color w:val="000000"/>
                <w:spacing w:val="0"/>
                <w:w w:val="100"/>
                <w:position w:val="0"/>
                <w:sz w:val="17"/>
                <w:szCs w:val="17"/>
              </w:rPr>
              <w:t>是否按规定内容公开预决算信息；</w:t>
            </w:r>
            <w:r>
              <w:rPr>
                <w:color w:val="000000"/>
                <w:spacing w:val="0"/>
                <w:w w:val="100"/>
                <w:position w:val="0"/>
                <w:sz w:val="16"/>
                <w:szCs w:val="16"/>
                <w:lang w:val="en-US" w:eastAsia="en-US" w:bidi="en-US"/>
              </w:rPr>
              <w:t>2,</w:t>
            </w:r>
            <w:r>
              <w:rPr>
                <w:color w:val="000000"/>
                <w:spacing w:val="0"/>
                <w:w w:val="100"/>
                <w:position w:val="0"/>
                <w:sz w:val="17"/>
                <w:szCs w:val="17"/>
              </w:rPr>
              <w:t>是否按规定 时限公开预决算信息。</w:t>
            </w:r>
          </w:p>
        </w:tc>
      </w:tr>
      <w:tr>
        <w:tblPrEx>
          <w:tblCellMar>
            <w:top w:w="0" w:type="dxa"/>
            <w:left w:w="10" w:type="dxa"/>
            <w:bottom w:w="0" w:type="dxa"/>
            <w:right w:w="10" w:type="dxa"/>
          </w:tblCellMar>
        </w:tblPrEx>
        <w:trPr>
          <w:trHeight w:val="1555" w:hRule="exact"/>
        </w:trPr>
        <w:tc>
          <w:tcPr>
            <w:tcW w:w="989" w:type="dxa"/>
            <w:vMerge w:val="continue"/>
            <w:tcBorders>
              <w:left w:val="single" w:color="auto" w:sz="4" w:space="0"/>
            </w:tcBorders>
            <w:shd w:val="clear" w:color="auto" w:fill="FFFFFF"/>
            <w:noWrap w:val="0"/>
            <w:vAlign w:val="top"/>
          </w:tcPr>
          <w:p/>
        </w:tc>
        <w:tc>
          <w:tcPr>
            <w:tcW w:w="1128" w:type="dxa"/>
            <w:vMerge w:val="continue"/>
            <w:tcBorders>
              <w:left w:val="single" w:color="auto" w:sz="4" w:space="0"/>
            </w:tcBorders>
            <w:shd w:val="clear" w:color="auto" w:fill="FFFFFF"/>
            <w:noWrap w:val="0"/>
            <w:vAlign w:val="center"/>
          </w:tcPr>
          <w:p/>
        </w:tc>
        <w:tc>
          <w:tcPr>
            <w:tcW w:w="1906"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资产管理规范性</w:t>
            </w:r>
          </w:p>
        </w:tc>
        <w:tc>
          <w:tcPr>
            <w:tcW w:w="739"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规范</w:t>
            </w:r>
          </w:p>
        </w:tc>
        <w:tc>
          <w:tcPr>
            <w:tcW w:w="6029" w:type="dxa"/>
            <w:tcBorders>
              <w:top w:val="single" w:color="auto" w:sz="4" w:space="0"/>
              <w:left w:val="single" w:color="auto" w:sz="4" w:space="0"/>
              <w:righ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23" w:lineRule="exact"/>
              <w:ind w:left="0" w:right="0" w:firstLine="0"/>
              <w:jc w:val="both"/>
              <w:rPr>
                <w:sz w:val="17"/>
                <w:szCs w:val="17"/>
              </w:rPr>
            </w:pPr>
            <w:r>
              <w:rPr>
                <w:color w:val="000000"/>
                <w:spacing w:val="0"/>
                <w:w w:val="100"/>
                <w:position w:val="0"/>
                <w:sz w:val="17"/>
                <w:szCs w:val="17"/>
              </w:rPr>
              <w:t>部门（单位）的资产配置、使用是否合规，处置是否规范，收入是否及时 足额上缴，用以反映和考核部门（单位）资产管理的规范程度。</w:t>
            </w:r>
            <w:r>
              <w:rPr>
                <w:color w:val="000000"/>
                <w:spacing w:val="0"/>
                <w:w w:val="100"/>
                <w:position w:val="0"/>
                <w:sz w:val="16"/>
                <w:szCs w:val="16"/>
              </w:rPr>
              <w:t>1</w:t>
            </w:r>
            <w:r>
              <w:rPr>
                <w:color w:val="000000"/>
                <w:spacing w:val="0"/>
                <w:w w:val="100"/>
                <w:position w:val="0"/>
                <w:sz w:val="17"/>
                <w:szCs w:val="17"/>
              </w:rPr>
              <w:t>.资产 是否及时规范入账，资产报表数据与会计账簿数据是否相符，资产实物与 财务账、资产账是否相符；</w:t>
            </w:r>
            <w:r>
              <w:rPr>
                <w:color w:val="000000"/>
                <w:spacing w:val="0"/>
                <w:w w:val="100"/>
                <w:position w:val="0"/>
                <w:sz w:val="16"/>
                <w:szCs w:val="16"/>
                <w:lang w:val="en-US" w:eastAsia="en-US" w:bidi="en-US"/>
              </w:rPr>
              <w:t>2,</w:t>
            </w:r>
            <w:r>
              <w:rPr>
                <w:color w:val="000000"/>
                <w:spacing w:val="0"/>
                <w:w w:val="100"/>
                <w:position w:val="0"/>
                <w:sz w:val="17"/>
                <w:szCs w:val="17"/>
              </w:rPr>
              <w:t>新增资产是否符合规定程序和规定标准， 新增资产是否考虑闲置存量资产：</w:t>
            </w:r>
            <w:r>
              <w:rPr>
                <w:color w:val="000000"/>
                <w:spacing w:val="0"/>
                <w:w w:val="100"/>
                <w:position w:val="0"/>
                <w:sz w:val="16"/>
                <w:szCs w:val="16"/>
                <w:lang w:val="en-US" w:eastAsia="en-US" w:bidi="en-US"/>
              </w:rPr>
              <w:t>3.</w:t>
            </w:r>
            <w:r>
              <w:rPr>
                <w:color w:val="000000"/>
                <w:spacing w:val="0"/>
                <w:w w:val="100"/>
                <w:position w:val="0"/>
                <w:sz w:val="17"/>
                <w:szCs w:val="17"/>
              </w:rPr>
              <w:t>资产对外有偿使用（出租出借等） 、对外投资、担保、资产处置等事项是否按规定报批；</w:t>
            </w:r>
            <w:r>
              <w:rPr>
                <w:color w:val="000000"/>
                <w:spacing w:val="0"/>
                <w:w w:val="100"/>
                <w:position w:val="0"/>
                <w:sz w:val="16"/>
                <w:szCs w:val="16"/>
                <w:lang w:val="en-US" w:eastAsia="en-US" w:bidi="en-US"/>
              </w:rPr>
              <w:t>4.</w:t>
            </w:r>
            <w:r>
              <w:rPr>
                <w:color w:val="000000"/>
                <w:spacing w:val="0"/>
                <w:w w:val="100"/>
                <w:position w:val="0"/>
                <w:sz w:val="17"/>
                <w:szCs w:val="17"/>
              </w:rPr>
              <w:t>资产收益是否 〃时是郷卜本时祜一</w:t>
            </w:r>
          </w:p>
        </w:tc>
      </w:tr>
      <w:tr>
        <w:tblPrEx>
          <w:tblCellMar>
            <w:top w:w="0" w:type="dxa"/>
            <w:left w:w="10" w:type="dxa"/>
            <w:bottom w:w="0" w:type="dxa"/>
            <w:right w:w="10" w:type="dxa"/>
          </w:tblCellMar>
        </w:tblPrEx>
        <w:trPr>
          <w:trHeight w:val="494" w:hRule="exact"/>
        </w:trPr>
        <w:tc>
          <w:tcPr>
            <w:tcW w:w="989" w:type="dxa"/>
            <w:vMerge w:val="continue"/>
            <w:tcBorders>
              <w:left w:val="single" w:color="auto" w:sz="4" w:space="0"/>
            </w:tcBorders>
            <w:shd w:val="clear" w:color="auto" w:fill="FFFFFF"/>
            <w:noWrap w:val="0"/>
            <w:vAlign w:val="top"/>
          </w:tcPr>
          <w:p/>
        </w:tc>
        <w:tc>
          <w:tcPr>
            <w:tcW w:w="1128" w:type="dxa"/>
            <w:vMerge w:val="restart"/>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绩效管理</w:t>
            </w:r>
          </w:p>
        </w:tc>
        <w:tc>
          <w:tcPr>
            <w:tcW w:w="1906"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绩效监控完成率</w:t>
            </w:r>
          </w:p>
        </w:tc>
        <w:tc>
          <w:tcPr>
            <w:tcW w:w="739"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rPr>
              <w:t>100%</w:t>
            </w:r>
          </w:p>
        </w:tc>
        <w:tc>
          <w:tcPr>
            <w:tcW w:w="6029" w:type="dxa"/>
            <w:tcBorders>
              <w:top w:val="single" w:color="auto" w:sz="4" w:space="0"/>
              <w:left w:val="single" w:color="auto" w:sz="4" w:space="0"/>
              <w:right w:val="single" w:color="auto" w:sz="4" w:space="0"/>
            </w:tcBorders>
            <w:shd w:val="clear" w:color="auto" w:fill="FFFFFF"/>
            <w:noWrap w:val="0"/>
            <w:vAlign w:val="top"/>
          </w:tcPr>
          <w:p>
            <w:pPr>
              <w:pStyle w:val="10"/>
              <w:keepNext w:val="0"/>
              <w:keepLines w:val="0"/>
              <w:widowControl w:val="0"/>
              <w:shd w:val="clear" w:color="auto" w:fill="auto"/>
              <w:bidi w:val="0"/>
              <w:spacing w:before="0" w:after="0" w:line="230" w:lineRule="exact"/>
              <w:ind w:left="0" w:right="0" w:firstLine="0"/>
              <w:jc w:val="both"/>
              <w:rPr>
                <w:sz w:val="17"/>
                <w:szCs w:val="17"/>
              </w:rPr>
            </w:pPr>
            <w:r>
              <w:rPr>
                <w:color w:val="000000"/>
                <w:spacing w:val="0"/>
                <w:w w:val="100"/>
                <w:position w:val="0"/>
                <w:sz w:val="17"/>
                <w:szCs w:val="17"/>
              </w:rPr>
              <w:t>部门（单位）按要求实施绩效监控的项目数量占应实施绩效监控项目总数 的比重。部门绩效监控完成率=已完成绩效监控项目数量/部门项目总数</w:t>
            </w:r>
          </w:p>
        </w:tc>
      </w:tr>
      <w:tr>
        <w:tblPrEx>
          <w:tblCellMar>
            <w:top w:w="0" w:type="dxa"/>
            <w:left w:w="10" w:type="dxa"/>
            <w:bottom w:w="0" w:type="dxa"/>
            <w:right w:w="10" w:type="dxa"/>
          </w:tblCellMar>
        </w:tblPrEx>
        <w:trPr>
          <w:trHeight w:val="470" w:hRule="exact"/>
        </w:trPr>
        <w:tc>
          <w:tcPr>
            <w:tcW w:w="989" w:type="dxa"/>
            <w:vMerge w:val="continue"/>
            <w:tcBorders>
              <w:left w:val="single" w:color="auto" w:sz="4" w:space="0"/>
            </w:tcBorders>
            <w:shd w:val="clear" w:color="auto" w:fill="FFFFFF"/>
            <w:noWrap w:val="0"/>
            <w:vAlign w:val="top"/>
          </w:tcPr>
          <w:p/>
        </w:tc>
        <w:tc>
          <w:tcPr>
            <w:tcW w:w="1128" w:type="dxa"/>
            <w:vMerge w:val="continue"/>
            <w:tcBorders>
              <w:left w:val="single" w:color="auto" w:sz="4" w:space="0"/>
            </w:tcBorders>
            <w:shd w:val="clear" w:color="auto" w:fill="FFFFFF"/>
            <w:noWrap w:val="0"/>
            <w:vAlign w:val="center"/>
          </w:tcPr>
          <w:p/>
        </w:tc>
        <w:tc>
          <w:tcPr>
            <w:tcW w:w="1906"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绩效自评完成率</w:t>
            </w:r>
          </w:p>
        </w:tc>
        <w:tc>
          <w:tcPr>
            <w:tcW w:w="739"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rPr>
              <w:t>100%</w:t>
            </w:r>
          </w:p>
        </w:tc>
        <w:tc>
          <w:tcPr>
            <w:tcW w:w="6029" w:type="dxa"/>
            <w:tcBorders>
              <w:top w:val="single" w:color="auto" w:sz="4" w:space="0"/>
              <w:left w:val="single" w:color="auto" w:sz="4" w:space="0"/>
              <w:righ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26" w:lineRule="exact"/>
              <w:ind w:left="0" w:right="0" w:firstLine="0"/>
              <w:jc w:val="both"/>
              <w:rPr>
                <w:sz w:val="16"/>
                <w:szCs w:val="16"/>
              </w:rPr>
            </w:pPr>
            <w:r>
              <w:rPr>
                <w:color w:val="000000"/>
                <w:spacing w:val="0"/>
                <w:w w:val="100"/>
                <w:position w:val="0"/>
                <w:sz w:val="17"/>
                <w:szCs w:val="17"/>
              </w:rPr>
              <w:t>部门单位按要求实施绩效自评的项目数量占应实施绩效自评项目总数的比 重。部门绩效自评完成率=已完成评价项目数量/部门项目总数</w:t>
            </w:r>
            <w:r>
              <w:rPr>
                <w:color w:val="000000"/>
                <w:spacing w:val="0"/>
                <w:w w:val="100"/>
                <w:position w:val="0"/>
                <w:sz w:val="16"/>
                <w:szCs w:val="16"/>
              </w:rPr>
              <w:t>*100%</w:t>
            </w:r>
          </w:p>
        </w:tc>
      </w:tr>
      <w:tr>
        <w:tblPrEx>
          <w:tblCellMar>
            <w:top w:w="0" w:type="dxa"/>
            <w:left w:w="10" w:type="dxa"/>
            <w:bottom w:w="0" w:type="dxa"/>
            <w:right w:w="10" w:type="dxa"/>
          </w:tblCellMar>
        </w:tblPrEx>
        <w:trPr>
          <w:trHeight w:val="504" w:hRule="exact"/>
        </w:trPr>
        <w:tc>
          <w:tcPr>
            <w:tcW w:w="989" w:type="dxa"/>
            <w:vMerge w:val="continue"/>
            <w:tcBorders>
              <w:left w:val="single" w:color="auto" w:sz="4" w:space="0"/>
            </w:tcBorders>
            <w:shd w:val="clear" w:color="auto" w:fill="FFFFFF"/>
            <w:noWrap w:val="0"/>
            <w:vAlign w:val="top"/>
          </w:tcPr>
          <w:p/>
        </w:tc>
        <w:tc>
          <w:tcPr>
            <w:tcW w:w="1128" w:type="dxa"/>
            <w:vMerge w:val="continue"/>
            <w:tcBorders>
              <w:left w:val="single" w:color="auto" w:sz="4" w:space="0"/>
            </w:tcBorders>
            <w:shd w:val="clear" w:color="auto" w:fill="FFFFFF"/>
            <w:noWrap w:val="0"/>
            <w:vAlign w:val="center"/>
          </w:tcPr>
          <w:p/>
        </w:tc>
        <w:tc>
          <w:tcPr>
            <w:tcW w:w="1906"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部门绩效评价完成率</w:t>
            </w:r>
          </w:p>
        </w:tc>
        <w:tc>
          <w:tcPr>
            <w:tcW w:w="739"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rPr>
              <w:t>100%</w:t>
            </w:r>
          </w:p>
        </w:tc>
        <w:tc>
          <w:tcPr>
            <w:tcW w:w="6029" w:type="dxa"/>
            <w:tcBorders>
              <w:top w:val="single" w:color="auto" w:sz="4" w:space="0"/>
              <w:left w:val="single" w:color="auto" w:sz="4" w:space="0"/>
              <w:righ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26" w:lineRule="exact"/>
              <w:ind w:left="0" w:right="0" w:firstLine="0"/>
              <w:jc w:val="both"/>
              <w:rPr>
                <w:sz w:val="16"/>
                <w:szCs w:val="16"/>
              </w:rPr>
            </w:pPr>
            <w:r>
              <w:rPr>
                <w:color w:val="000000"/>
                <w:spacing w:val="0"/>
                <w:w w:val="100"/>
                <w:position w:val="0"/>
                <w:sz w:val="17"/>
                <w:szCs w:val="17"/>
              </w:rPr>
              <w:t>部门重点绩效评价项目评价完成情况.部门绩效评价完成率</w:t>
            </w:r>
            <w:r>
              <w:rPr>
                <w:color w:val="000000"/>
                <w:spacing w:val="0"/>
                <w:w w:val="100"/>
                <w:position w:val="0"/>
                <w:sz w:val="17"/>
                <w:szCs w:val="17"/>
                <w:lang w:val="zh-CN" w:eastAsia="zh-CN" w:bidi="zh-CN"/>
              </w:rPr>
              <w:t>二已完</w:t>
            </w:r>
            <w:r>
              <w:rPr>
                <w:color w:val="000000"/>
                <w:spacing w:val="0"/>
                <w:w w:val="100"/>
                <w:position w:val="0"/>
                <w:sz w:val="17"/>
                <w:szCs w:val="17"/>
              </w:rPr>
              <w:t>成评价 项目数量/部门重点绩效评价项目数</w:t>
            </w:r>
            <w:r>
              <w:rPr>
                <w:color w:val="000000"/>
                <w:spacing w:val="0"/>
                <w:w w:val="100"/>
                <w:position w:val="0"/>
                <w:sz w:val="16"/>
                <w:szCs w:val="16"/>
              </w:rPr>
              <w:t>*100%</w:t>
            </w:r>
          </w:p>
        </w:tc>
      </w:tr>
      <w:tr>
        <w:tblPrEx>
          <w:tblCellMar>
            <w:top w:w="0" w:type="dxa"/>
            <w:left w:w="10" w:type="dxa"/>
            <w:bottom w:w="0" w:type="dxa"/>
            <w:right w:w="10" w:type="dxa"/>
          </w:tblCellMar>
        </w:tblPrEx>
        <w:trPr>
          <w:trHeight w:val="590" w:hRule="exact"/>
        </w:trPr>
        <w:tc>
          <w:tcPr>
            <w:tcW w:w="989" w:type="dxa"/>
            <w:vMerge w:val="continue"/>
            <w:tcBorders>
              <w:left w:val="single" w:color="auto" w:sz="4" w:space="0"/>
            </w:tcBorders>
            <w:shd w:val="clear" w:color="auto" w:fill="FFFFFF"/>
            <w:noWrap w:val="0"/>
            <w:vAlign w:val="top"/>
          </w:tcPr>
          <w:p/>
        </w:tc>
        <w:tc>
          <w:tcPr>
            <w:tcW w:w="1128" w:type="dxa"/>
            <w:vMerge w:val="continue"/>
            <w:tcBorders>
              <w:left w:val="single" w:color="auto" w:sz="4" w:space="0"/>
            </w:tcBorders>
            <w:shd w:val="clear" w:color="auto" w:fill="FFFFFF"/>
            <w:noWrap w:val="0"/>
            <w:vAlign w:val="center"/>
          </w:tcPr>
          <w:p/>
        </w:tc>
        <w:tc>
          <w:tcPr>
            <w:tcW w:w="1906"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评价结果应用率</w:t>
            </w:r>
          </w:p>
        </w:tc>
        <w:tc>
          <w:tcPr>
            <w:tcW w:w="739"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rPr>
              <w:t>100%</w:t>
            </w:r>
          </w:p>
        </w:tc>
        <w:tc>
          <w:tcPr>
            <w:tcW w:w="6029" w:type="dxa"/>
            <w:tcBorders>
              <w:top w:val="single" w:color="auto" w:sz="4" w:space="0"/>
              <w:left w:val="single" w:color="auto" w:sz="4" w:space="0"/>
              <w:righ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26" w:lineRule="exact"/>
              <w:ind w:left="0" w:right="0" w:firstLine="0"/>
              <w:jc w:val="both"/>
              <w:rPr>
                <w:sz w:val="16"/>
                <w:szCs w:val="16"/>
              </w:rPr>
            </w:pPr>
            <w:r>
              <w:rPr>
                <w:color w:val="000000"/>
                <w:spacing w:val="0"/>
                <w:w w:val="100"/>
                <w:position w:val="0"/>
                <w:sz w:val="17"/>
                <w:szCs w:val="17"/>
              </w:rPr>
              <w:t>绩效监控、单位自评、部门绩效评价、财政重点绩效评价结果应用情况。 评价结果应用率=评价提出的意见建议釆纳数/提出的意见建议总数</w:t>
            </w:r>
            <w:r>
              <w:rPr>
                <w:color w:val="000000"/>
                <w:spacing w:val="0"/>
                <w:w w:val="100"/>
                <w:position w:val="0"/>
                <w:sz w:val="16"/>
                <w:szCs w:val="16"/>
              </w:rPr>
              <w:t>*100%</w:t>
            </w:r>
          </w:p>
        </w:tc>
      </w:tr>
      <w:tr>
        <w:tblPrEx>
          <w:tblCellMar>
            <w:top w:w="0" w:type="dxa"/>
            <w:left w:w="10" w:type="dxa"/>
            <w:bottom w:w="0" w:type="dxa"/>
            <w:right w:w="10" w:type="dxa"/>
          </w:tblCellMar>
        </w:tblPrEx>
        <w:trPr>
          <w:trHeight w:val="595" w:hRule="exact"/>
        </w:trPr>
        <w:tc>
          <w:tcPr>
            <w:tcW w:w="989" w:type="dxa"/>
            <w:vMerge w:val="restart"/>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1540" w:line="240" w:lineRule="auto"/>
              <w:ind w:left="0" w:right="0" w:firstLine="0"/>
              <w:jc w:val="left"/>
              <w:rPr>
                <w:sz w:val="17"/>
                <w:szCs w:val="17"/>
              </w:rPr>
            </w:pPr>
            <w:r>
              <w:rPr>
                <w:color w:val="000000"/>
                <w:spacing w:val="0"/>
                <w:w w:val="100"/>
                <w:position w:val="0"/>
                <w:sz w:val="17"/>
                <w:szCs w:val="17"/>
              </w:rPr>
              <w:t>产出指标</w:t>
            </w:r>
          </w:p>
          <w:p>
            <w:pPr>
              <w:pStyle w:val="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效益指标</w:t>
            </w:r>
          </w:p>
        </w:tc>
        <w:tc>
          <w:tcPr>
            <w:tcW w:w="1128" w:type="dxa"/>
            <w:tcBorders>
              <w:top w:val="single" w:color="auto" w:sz="4" w:space="0"/>
              <w:lef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30" w:lineRule="exact"/>
              <w:ind w:left="0" w:right="0" w:firstLine="0"/>
              <w:jc w:val="center"/>
              <w:rPr>
                <w:sz w:val="17"/>
                <w:szCs w:val="17"/>
              </w:rPr>
            </w:pPr>
            <w:r>
              <w:rPr>
                <w:color w:val="000000"/>
                <w:spacing w:val="0"/>
                <w:w w:val="100"/>
                <w:position w:val="0"/>
                <w:sz w:val="17"/>
                <w:szCs w:val="17"/>
              </w:rPr>
              <w:t>重点工作任 务完成</w:t>
            </w:r>
          </w:p>
        </w:tc>
        <w:tc>
          <w:tcPr>
            <w:tcW w:w="1906"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重点工作任务完成率</w:t>
            </w:r>
          </w:p>
        </w:tc>
        <w:tc>
          <w:tcPr>
            <w:tcW w:w="739"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rPr>
              <w:t>100%</w:t>
            </w:r>
          </w:p>
        </w:tc>
        <w:tc>
          <w:tcPr>
            <w:tcW w:w="6029" w:type="dxa"/>
            <w:tcBorders>
              <w:top w:val="single" w:color="auto" w:sz="4" w:space="0"/>
              <w:left w:val="single" w:color="auto" w:sz="4" w:space="0"/>
              <w:righ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30" w:lineRule="exact"/>
              <w:ind w:left="0" w:right="0" w:firstLine="0"/>
              <w:jc w:val="both"/>
              <w:rPr>
                <w:sz w:val="17"/>
                <w:szCs w:val="17"/>
              </w:rPr>
            </w:pPr>
            <w:r>
              <w:rPr>
                <w:color w:val="000000"/>
                <w:spacing w:val="0"/>
                <w:w w:val="100"/>
                <w:position w:val="0"/>
                <w:sz w:val="17"/>
                <w:szCs w:val="17"/>
              </w:rPr>
              <w:t>反映本部门负责的重点工作任务进展情况。分项具体列示本部门重点工作 任务推进情况，相关情况应予以细化、量化表述。</w:t>
            </w:r>
          </w:p>
        </w:tc>
      </w:tr>
      <w:tr>
        <w:tblPrEx>
          <w:tblCellMar>
            <w:top w:w="0" w:type="dxa"/>
            <w:left w:w="10" w:type="dxa"/>
            <w:bottom w:w="0" w:type="dxa"/>
            <w:right w:w="10" w:type="dxa"/>
          </w:tblCellMar>
        </w:tblPrEx>
        <w:trPr>
          <w:trHeight w:val="720" w:hRule="exact"/>
        </w:trPr>
        <w:tc>
          <w:tcPr>
            <w:tcW w:w="989" w:type="dxa"/>
            <w:vMerge w:val="continue"/>
            <w:tcBorders>
              <w:left w:val="single" w:color="auto" w:sz="4" w:space="0"/>
            </w:tcBorders>
            <w:shd w:val="clear" w:color="auto" w:fill="FFFFFF"/>
            <w:noWrap w:val="0"/>
            <w:vAlign w:val="center"/>
          </w:tcPr>
          <w:p/>
        </w:tc>
        <w:tc>
          <w:tcPr>
            <w:tcW w:w="1128"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30" w:lineRule="exact"/>
              <w:ind w:left="0" w:right="0" w:firstLine="0"/>
              <w:jc w:val="center"/>
              <w:rPr>
                <w:rFonts w:hint="eastAsia" w:eastAsia="宋体"/>
                <w:sz w:val="17"/>
                <w:szCs w:val="17"/>
                <w:lang w:val="en-US" w:eastAsia="zh-CN"/>
              </w:rPr>
            </w:pPr>
            <w:r>
              <w:rPr>
                <w:color w:val="000000"/>
                <w:spacing w:val="0"/>
                <w:w w:val="100"/>
                <w:position w:val="0"/>
                <w:sz w:val="17"/>
                <w:szCs w:val="17"/>
              </w:rPr>
              <w:t>履职目标</w:t>
            </w:r>
            <w:r>
              <w:rPr>
                <w:rFonts w:hint="eastAsia"/>
                <w:color w:val="000000"/>
                <w:spacing w:val="0"/>
                <w:w w:val="100"/>
                <w:position w:val="0"/>
                <w:sz w:val="17"/>
                <w:szCs w:val="17"/>
                <w:lang w:val="en-US" w:eastAsia="zh-CN"/>
              </w:rPr>
              <w:t>实现</w:t>
            </w:r>
          </w:p>
        </w:tc>
        <w:tc>
          <w:tcPr>
            <w:tcW w:w="1906" w:type="dxa"/>
            <w:tcBorders>
              <w:top w:val="single" w:color="auto" w:sz="4" w:space="0"/>
              <w:lef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30" w:lineRule="exact"/>
              <w:ind w:left="0" w:right="0" w:firstLine="0"/>
              <w:jc w:val="center"/>
              <w:rPr>
                <w:sz w:val="17"/>
                <w:szCs w:val="17"/>
              </w:rPr>
            </w:pPr>
            <w:r>
              <w:rPr>
                <w:rFonts w:hint="eastAsia" w:ascii="宋体" w:hAnsi="宋体" w:eastAsia="宋体" w:cs="宋体"/>
                <w:i w:val="0"/>
                <w:iCs w:val="0"/>
                <w:color w:val="000000"/>
                <w:sz w:val="18"/>
                <w:szCs w:val="18"/>
                <w:u w:val="none"/>
                <w:lang w:val="en-US" w:eastAsia="zh-CN"/>
              </w:rPr>
              <w:t>确保全县道路、水路运输市场有序运行</w:t>
            </w:r>
          </w:p>
        </w:tc>
        <w:tc>
          <w:tcPr>
            <w:tcW w:w="739"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30" w:lineRule="exact"/>
              <w:ind w:left="0" w:right="0" w:firstLine="0"/>
              <w:jc w:val="center"/>
              <w:rPr>
                <w:sz w:val="17"/>
                <w:szCs w:val="17"/>
              </w:rPr>
            </w:pPr>
            <w:r>
              <w:rPr>
                <w:color w:val="000000"/>
                <w:spacing w:val="0"/>
                <w:w w:val="100"/>
                <w:position w:val="0"/>
                <w:sz w:val="17"/>
                <w:szCs w:val="17"/>
              </w:rPr>
              <w:t>目标实 现</w:t>
            </w:r>
          </w:p>
        </w:tc>
        <w:tc>
          <w:tcPr>
            <w:tcW w:w="6029" w:type="dxa"/>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30" w:lineRule="exact"/>
              <w:ind w:left="0" w:right="0" w:firstLine="0"/>
              <w:jc w:val="both"/>
              <w:rPr>
                <w:sz w:val="17"/>
                <w:szCs w:val="17"/>
              </w:rPr>
            </w:pPr>
            <w:r>
              <w:rPr>
                <w:color w:val="000000"/>
                <w:spacing w:val="0"/>
                <w:w w:val="100"/>
                <w:position w:val="0"/>
                <w:sz w:val="17"/>
                <w:szCs w:val="17"/>
              </w:rPr>
              <w:t>反映本部门制定的年度工作目标达成情况。分项具体列示本部门年度工作 目标达成情况，相关情况应予以细化、量化表述。</w:t>
            </w:r>
          </w:p>
        </w:tc>
      </w:tr>
      <w:tr>
        <w:tblPrEx>
          <w:tblCellMar>
            <w:top w:w="0" w:type="dxa"/>
            <w:left w:w="10" w:type="dxa"/>
            <w:bottom w:w="0" w:type="dxa"/>
            <w:right w:w="10" w:type="dxa"/>
          </w:tblCellMar>
        </w:tblPrEx>
        <w:trPr>
          <w:trHeight w:val="801" w:hRule="exact"/>
        </w:trPr>
        <w:tc>
          <w:tcPr>
            <w:tcW w:w="989" w:type="dxa"/>
            <w:vMerge w:val="continue"/>
            <w:tcBorders>
              <w:left w:val="single" w:color="auto" w:sz="4" w:space="0"/>
            </w:tcBorders>
            <w:shd w:val="clear" w:color="auto" w:fill="FFFFFF"/>
            <w:noWrap w:val="0"/>
            <w:vAlign w:val="center"/>
          </w:tcPr>
          <w:p/>
        </w:tc>
        <w:tc>
          <w:tcPr>
            <w:tcW w:w="1128" w:type="dxa"/>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200"/>
              <w:jc w:val="left"/>
              <w:rPr>
                <w:sz w:val="17"/>
                <w:szCs w:val="17"/>
              </w:rPr>
            </w:pPr>
            <w:r>
              <w:rPr>
                <w:color w:val="000000"/>
                <w:spacing w:val="0"/>
                <w:w w:val="100"/>
                <w:position w:val="0"/>
                <w:sz w:val="17"/>
                <w:szCs w:val="17"/>
              </w:rPr>
              <w:t>履职效益</w:t>
            </w:r>
          </w:p>
        </w:tc>
        <w:tc>
          <w:tcPr>
            <w:tcW w:w="2645" w:type="dxa"/>
            <w:gridSpan w:val="2"/>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30" w:lineRule="exact"/>
              <w:ind w:left="0" w:right="0" w:firstLine="0"/>
              <w:jc w:val="center"/>
              <w:rPr>
                <w:rFonts w:hint="default" w:eastAsia="宋体"/>
                <w:sz w:val="17"/>
                <w:szCs w:val="17"/>
                <w:lang w:val="en-US" w:eastAsia="zh-CN"/>
              </w:rPr>
            </w:pPr>
            <w:r>
              <w:rPr>
                <w:rFonts w:hint="eastAsia" w:ascii="宋体" w:hAnsi="宋体" w:eastAsia="宋体" w:cs="宋体"/>
                <w:b w:val="0"/>
                <w:bCs w:val="0"/>
                <w:sz w:val="16"/>
                <w:szCs w:val="16"/>
              </w:rPr>
              <w:t>指导全县交通运输枢纽规划和管理</w:t>
            </w:r>
            <w:r>
              <w:rPr>
                <w:rFonts w:hint="eastAsia" w:ascii="宋体" w:hAnsi="宋体" w:eastAsia="宋体" w:cs="宋体"/>
                <w:b w:val="0"/>
                <w:bCs w:val="0"/>
                <w:sz w:val="16"/>
                <w:szCs w:val="16"/>
                <w:lang w:val="en-US" w:eastAsia="zh-CN"/>
              </w:rPr>
              <w:t xml:space="preserve"> </w:t>
            </w:r>
            <w:r>
              <w:rPr>
                <w:rFonts w:hint="eastAsia"/>
                <w:sz w:val="17"/>
                <w:szCs w:val="17"/>
                <w:lang w:val="en-US" w:eastAsia="zh-CN"/>
              </w:rPr>
              <w:t xml:space="preserve">                    </w:t>
            </w:r>
          </w:p>
        </w:tc>
        <w:tc>
          <w:tcPr>
            <w:tcW w:w="6029" w:type="dxa"/>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26" w:lineRule="exact"/>
              <w:ind w:left="280" w:right="0" w:hanging="280"/>
              <w:jc w:val="left"/>
              <w:rPr>
                <w:sz w:val="17"/>
                <w:szCs w:val="17"/>
              </w:rPr>
            </w:pPr>
            <w:r>
              <w:rPr>
                <w:color w:val="000000"/>
                <w:spacing w:val="0"/>
                <w:w w:val="100"/>
                <w:position w:val="0"/>
                <w:sz w:val="17"/>
                <w:szCs w:val="17"/>
              </w:rPr>
              <w:t>反映部门履职对经济社会发展等所带来的直接或间接影响。可根据部门实 际情况有选择的进行设置，并将三级指标细化为相应的个性化指标。</w:t>
            </w:r>
          </w:p>
        </w:tc>
      </w:tr>
      <w:tr>
        <w:tblPrEx>
          <w:tblCellMar>
            <w:top w:w="0" w:type="dxa"/>
            <w:left w:w="10" w:type="dxa"/>
            <w:bottom w:w="0" w:type="dxa"/>
            <w:right w:w="10" w:type="dxa"/>
          </w:tblCellMar>
        </w:tblPrEx>
        <w:trPr>
          <w:trHeight w:val="384" w:hRule="exact"/>
        </w:trPr>
        <w:tc>
          <w:tcPr>
            <w:tcW w:w="989" w:type="dxa"/>
            <w:vMerge w:val="continue"/>
            <w:tcBorders>
              <w:left w:val="single" w:color="auto" w:sz="4" w:space="0"/>
            </w:tcBorders>
            <w:shd w:val="clear" w:color="auto" w:fill="FFFFFF"/>
            <w:noWrap w:val="0"/>
            <w:vAlign w:val="center"/>
          </w:tcPr>
          <w:p/>
        </w:tc>
        <w:tc>
          <w:tcPr>
            <w:tcW w:w="1128" w:type="dxa"/>
            <w:vMerge w:val="restart"/>
            <w:tcBorders>
              <w:top w:val="single" w:color="auto" w:sz="4" w:space="0"/>
              <w:left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满意度</w:t>
            </w:r>
          </w:p>
        </w:tc>
        <w:tc>
          <w:tcPr>
            <w:tcW w:w="1906" w:type="dxa"/>
            <w:tcBorders>
              <w:top w:val="single" w:color="auto" w:sz="4" w:space="0"/>
              <w:lef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40" w:lineRule="auto"/>
              <w:ind w:left="0" w:right="0" w:firstLine="520"/>
              <w:jc w:val="left"/>
              <w:rPr>
                <w:sz w:val="17"/>
                <w:szCs w:val="17"/>
              </w:rPr>
            </w:pPr>
            <w:r>
              <w:rPr>
                <w:color w:val="000000"/>
                <w:spacing w:val="0"/>
                <w:w w:val="100"/>
                <w:position w:val="0"/>
                <w:sz w:val="17"/>
                <w:szCs w:val="17"/>
              </w:rPr>
              <w:t>群众满意度</w:t>
            </w:r>
          </w:p>
        </w:tc>
        <w:tc>
          <w:tcPr>
            <w:tcW w:w="739" w:type="dxa"/>
            <w:tcBorders>
              <w:top w:val="single" w:color="auto" w:sz="4" w:space="0"/>
              <w:lef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40" w:lineRule="auto"/>
              <w:ind w:left="0" w:right="0" w:firstLine="200"/>
              <w:jc w:val="left"/>
              <w:rPr>
                <w:sz w:val="16"/>
                <w:szCs w:val="16"/>
              </w:rPr>
            </w:pPr>
            <w:r>
              <w:rPr>
                <w:rFonts w:hint="eastAsia"/>
                <w:color w:val="000000"/>
                <w:spacing w:val="0"/>
                <w:w w:val="100"/>
                <w:position w:val="0"/>
                <w:sz w:val="16"/>
                <w:szCs w:val="16"/>
                <w:lang w:val="en-US" w:eastAsia="zh-CN"/>
              </w:rPr>
              <w:t>90</w:t>
            </w:r>
            <w:r>
              <w:rPr>
                <w:color w:val="000000"/>
                <w:spacing w:val="0"/>
                <w:w w:val="100"/>
                <w:position w:val="0"/>
                <w:sz w:val="16"/>
                <w:szCs w:val="16"/>
              </w:rPr>
              <w:t>%</w:t>
            </w:r>
          </w:p>
        </w:tc>
        <w:tc>
          <w:tcPr>
            <w:tcW w:w="6029" w:type="dxa"/>
            <w:vMerge w:val="restart"/>
            <w:tcBorders>
              <w:top w:val="single" w:color="auto" w:sz="4" w:space="0"/>
              <w:left w:val="single" w:color="auto" w:sz="4" w:space="0"/>
              <w:right w:val="single" w:color="auto" w:sz="4" w:space="0"/>
            </w:tcBorders>
            <w:shd w:val="clear" w:color="auto" w:fill="FFFFFF"/>
            <w:noWrap w:val="0"/>
            <w:vAlign w:val="bottom"/>
          </w:tcPr>
          <w:p>
            <w:pPr>
              <w:pStyle w:val="10"/>
              <w:keepNext w:val="0"/>
              <w:keepLines w:val="0"/>
              <w:widowControl w:val="0"/>
              <w:shd w:val="clear" w:color="auto" w:fill="auto"/>
              <w:bidi w:val="0"/>
              <w:spacing w:before="0" w:after="0" w:line="230" w:lineRule="exact"/>
              <w:ind w:left="0" w:right="0" w:firstLine="0"/>
              <w:jc w:val="left"/>
              <w:rPr>
                <w:sz w:val="17"/>
                <w:szCs w:val="17"/>
              </w:rPr>
            </w:pPr>
            <w:r>
              <w:rPr>
                <w:color w:val="000000"/>
                <w:spacing w:val="0"/>
                <w:w w:val="100"/>
                <w:position w:val="0"/>
                <w:sz w:val="17"/>
                <w:szCs w:val="17"/>
              </w:rPr>
              <w:t>反映社会公众或服务对象在部门履职效果、解决民众关心的热点问题等方 面的满意程度。可根据部门实际情况有选择的进行设置，并将三级指标细 化为相应的个性化指标。</w:t>
            </w:r>
          </w:p>
        </w:tc>
      </w:tr>
      <w:tr>
        <w:tblPrEx>
          <w:tblCellMar>
            <w:top w:w="0" w:type="dxa"/>
            <w:left w:w="10" w:type="dxa"/>
            <w:bottom w:w="0" w:type="dxa"/>
            <w:right w:w="10" w:type="dxa"/>
          </w:tblCellMar>
        </w:tblPrEx>
        <w:trPr>
          <w:trHeight w:val="420" w:hRule="exact"/>
        </w:trPr>
        <w:tc>
          <w:tcPr>
            <w:tcW w:w="989" w:type="dxa"/>
            <w:vMerge w:val="continue"/>
            <w:tcBorders>
              <w:left w:val="single" w:color="auto" w:sz="4" w:space="0"/>
              <w:bottom w:val="single" w:color="auto" w:sz="4" w:space="0"/>
            </w:tcBorders>
            <w:shd w:val="clear" w:color="auto" w:fill="FFFFFF"/>
            <w:noWrap w:val="0"/>
            <w:vAlign w:val="center"/>
          </w:tcPr>
          <w:p/>
        </w:tc>
        <w:tc>
          <w:tcPr>
            <w:tcW w:w="1128" w:type="dxa"/>
            <w:vMerge w:val="continue"/>
            <w:tcBorders>
              <w:left w:val="single" w:color="auto" w:sz="4" w:space="0"/>
              <w:bottom w:val="single" w:color="auto" w:sz="4" w:space="0"/>
            </w:tcBorders>
            <w:shd w:val="clear" w:color="auto" w:fill="FFFFFF"/>
            <w:noWrap w:val="0"/>
            <w:vAlign w:val="center"/>
          </w:tcPr>
          <w:p/>
        </w:tc>
        <w:tc>
          <w:tcPr>
            <w:tcW w:w="1906" w:type="dxa"/>
            <w:tcBorders>
              <w:top w:val="single" w:color="auto" w:sz="4" w:space="0"/>
              <w:left w:val="single" w:color="auto" w:sz="4" w:space="0"/>
              <w:bottom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外部监督部门满意度</w:t>
            </w:r>
          </w:p>
        </w:tc>
        <w:tc>
          <w:tcPr>
            <w:tcW w:w="739" w:type="dxa"/>
            <w:tcBorders>
              <w:top w:val="single" w:color="auto" w:sz="4" w:space="0"/>
              <w:left w:val="single" w:color="auto" w:sz="4" w:space="0"/>
              <w:bottom w:val="single" w:color="auto" w:sz="4" w:space="0"/>
            </w:tcBorders>
            <w:shd w:val="clear" w:color="auto" w:fill="FFFFFF"/>
            <w:noWrap w:val="0"/>
            <w:vAlign w:val="center"/>
          </w:tcPr>
          <w:p>
            <w:pPr>
              <w:pStyle w:val="10"/>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lang w:val="en-US" w:eastAsia="en-US" w:bidi="en-US"/>
              </w:rPr>
              <w:t>93%</w:t>
            </w:r>
          </w:p>
        </w:tc>
        <w:tc>
          <w:tcPr>
            <w:tcW w:w="6029" w:type="dxa"/>
            <w:vMerge w:val="continue"/>
            <w:tcBorders>
              <w:left w:val="single" w:color="auto" w:sz="4" w:space="0"/>
              <w:bottom w:val="single" w:color="auto" w:sz="4" w:space="0"/>
              <w:right w:val="single" w:color="auto" w:sz="4" w:space="0"/>
            </w:tcBorders>
            <w:shd w:val="clear" w:color="auto" w:fill="FFFFFF"/>
            <w:noWrap w:val="0"/>
            <w:vAlign w:val="bottom"/>
          </w:tcPr>
          <w:p/>
        </w:tc>
      </w:tr>
    </w:tbl>
    <w:p>
      <w:pPr>
        <w:spacing w:line="1" w:lineRule="exact"/>
      </w:pPr>
    </w:p>
    <w:p>
      <w:pPr>
        <w:bidi w:val="0"/>
      </w:pPr>
    </w:p>
    <w:p>
      <w:pPr>
        <w:bidi w:val="0"/>
      </w:pPr>
    </w:p>
    <w:p>
      <w:pPr>
        <w:bidi w:val="0"/>
        <w:sectPr>
          <w:pgSz w:w="11906" w:h="16838"/>
          <w:pgMar w:top="873" w:right="102" w:bottom="873" w:left="669" w:header="851" w:footer="992" w:gutter="0"/>
          <w:cols w:space="720" w:num="1"/>
          <w:rtlGutter w:val="0"/>
          <w:docGrid w:type="lines" w:linePitch="312" w:charSpace="0"/>
        </w:sectPr>
      </w:pPr>
    </w:p>
    <w:tbl>
      <w:tblPr>
        <w:tblStyle w:val="5"/>
        <w:tblpPr w:leftFromText="180" w:rightFromText="180" w:vertAnchor="text" w:horzAnchor="page" w:tblpX="830" w:tblpY="1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06"/>
        <w:gridCol w:w="1980"/>
        <w:gridCol w:w="914"/>
        <w:gridCol w:w="1244"/>
        <w:gridCol w:w="1567"/>
        <w:gridCol w:w="906"/>
        <w:gridCol w:w="906"/>
        <w:gridCol w:w="741"/>
        <w:gridCol w:w="906"/>
        <w:gridCol w:w="741"/>
        <w:gridCol w:w="906"/>
        <w:gridCol w:w="742"/>
        <w:gridCol w:w="907"/>
        <w:gridCol w:w="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14"/>
            <w:tcBorders>
              <w:top w:val="nil"/>
              <w:left w:val="nil"/>
              <w:bottom w:val="nil"/>
              <w:right w:val="nil"/>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预算12表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0" w:type="auto"/>
            <w:gridSpan w:val="14"/>
            <w:tcBorders>
              <w:top w:val="nil"/>
              <w:left w:val="nil"/>
              <w:bottom w:val="nil"/>
              <w:right w:val="nil"/>
            </w:tcBorders>
            <w:noWrap w:val="0"/>
            <w:vAlign w:val="center"/>
          </w:tcPr>
          <w:p>
            <w:pPr>
              <w:keepNext w:val="0"/>
              <w:keepLines w:val="0"/>
              <w:widowControl/>
              <w:suppressLineNumbers w:val="0"/>
              <w:jc w:val="center"/>
              <w:textAlignment w:val="center"/>
              <w:rPr>
                <w:rFonts w:ascii="宋体" w:hAnsi="宋体" w:eastAsia="宋体" w:cs="宋体"/>
                <w:b/>
                <w:bCs/>
                <w:i w:val="0"/>
                <w:iCs w:val="0"/>
                <w:color w:val="000000"/>
                <w:kern w:val="0"/>
                <w:sz w:val="38"/>
                <w:szCs w:val="38"/>
                <w:u w:val="none"/>
                <w:lang w:val="en-US" w:eastAsia="zh-CN" w:bidi="ar"/>
              </w:rPr>
            </w:pPr>
          </w:p>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部门预算项目绩效目标汇总表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0" w:type="auto"/>
            <w:gridSpan w:val="13"/>
            <w:tcBorders>
              <w:top w:val="nil"/>
              <w:left w:val="nil"/>
              <w:bottom w:val="nil"/>
              <w:right w:val="nil"/>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唐河县交通局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单位编码（项目编码）</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项目单位 （项目名称）</w:t>
            </w:r>
          </w:p>
        </w:tc>
        <w:tc>
          <w:tcPr>
            <w:tcW w:w="0" w:type="auto"/>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项目金额（万元）</w:t>
            </w:r>
          </w:p>
        </w:tc>
        <w:tc>
          <w:tcPr>
            <w:tcW w:w="0" w:type="auto"/>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成本指标  </w:t>
            </w:r>
          </w:p>
        </w:tc>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产出指标  </w:t>
            </w:r>
          </w:p>
        </w:tc>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效益指标  </w:t>
            </w:r>
          </w:p>
        </w:tc>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满意度指标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资金总额</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政府预算资金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59.59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59.59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038004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唐河县交通运输局</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59.59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59.59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411328230000000002407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w:t>
            </w:r>
            <w:r>
              <w:rPr>
                <w:rFonts w:hint="eastAsia" w:ascii="宋体" w:hAnsi="宋体" w:eastAsia="宋体" w:cs="宋体"/>
                <w:i w:val="0"/>
                <w:iCs w:val="0"/>
                <w:color w:val="000000"/>
                <w:kern w:val="0"/>
                <w:sz w:val="18"/>
                <w:szCs w:val="18"/>
                <w:u w:val="none"/>
                <w:lang w:val="en-US" w:eastAsia="zh-CN" w:bidi="ar"/>
              </w:rPr>
              <w:t>2</w:t>
            </w:r>
            <w:r>
              <w:rPr>
                <w:rFonts w:ascii="宋体" w:hAnsi="宋体" w:eastAsia="宋体" w:cs="宋体"/>
                <w:i w:val="0"/>
                <w:iCs w:val="0"/>
                <w:color w:val="000000"/>
                <w:kern w:val="0"/>
                <w:sz w:val="18"/>
                <w:szCs w:val="18"/>
                <w:u w:val="none"/>
                <w:lang w:val="en-US" w:eastAsia="zh-CN" w:bidi="ar"/>
              </w:rPr>
              <w:t>年房租返还资金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59.59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59.59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0</w:t>
            </w:r>
          </w:p>
        </w:tc>
      </w:tr>
    </w:tbl>
    <w:p>
      <w:pPr>
        <w:bidi w:val="0"/>
      </w:pPr>
    </w:p>
    <w:p>
      <w:pPr>
        <w:bidi w:val="0"/>
      </w:pPr>
    </w:p>
    <w:p>
      <w:pPr>
        <w:bidi w:val="0"/>
      </w:pPr>
    </w:p>
    <w:p>
      <w:pPr>
        <w:bidi w:val="0"/>
      </w:pPr>
    </w:p>
    <w:p>
      <w:pPr>
        <w:bidi w:val="0"/>
      </w:pPr>
    </w:p>
    <w:tbl>
      <w:tblPr>
        <w:tblStyle w:val="5"/>
        <w:tblpPr w:leftFromText="180" w:rightFromText="180" w:vertAnchor="text" w:horzAnchor="page" w:tblpX="1550" w:tblpY="5479"/>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212" w:type="dxa"/>
            <w:tcBorders>
              <w:top w:val="nil"/>
              <w:left w:val="nil"/>
              <w:bottom w:val="nil"/>
              <w:right w:val="nil"/>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p>
        </w:tc>
      </w:tr>
    </w:tbl>
    <w:p>
      <w:pPr>
        <w:adjustRightInd w:val="0"/>
        <w:snapToGrid w:val="0"/>
        <w:spacing w:line="240" w:lineRule="auto"/>
        <w:jc w:val="center"/>
        <w:rPr>
          <w:rFonts w:hint="eastAsia" w:ascii="黑体" w:hAnsi="黑体" w:eastAsia="黑体"/>
          <w:sz w:val="32"/>
          <w:szCs w:val="32"/>
        </w:rPr>
      </w:pPr>
    </w:p>
    <w:sectPr>
      <w:pgSz w:w="16838" w:h="11906" w:orient="landscape"/>
      <w:pgMar w:top="669" w:right="873" w:bottom="102" w:left="873"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5</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1">
    <w:nsid w:val="7C0D5798"/>
    <w:multiLevelType w:val="singleLevel"/>
    <w:tmpl w:val="7C0D5798"/>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iYjQwY2RiOTY4NTE4NmE4MzdmYzNiZTllODAyODAifQ=="/>
  </w:docVars>
  <w:rsids>
    <w:rsidRoot w:val="394C6AB8"/>
    <w:rsid w:val="000056FE"/>
    <w:rsid w:val="00007CC9"/>
    <w:rsid w:val="00016ADC"/>
    <w:rsid w:val="0002393F"/>
    <w:rsid w:val="000245E1"/>
    <w:rsid w:val="000328AD"/>
    <w:rsid w:val="00032A5A"/>
    <w:rsid w:val="00033F9A"/>
    <w:rsid w:val="0003777B"/>
    <w:rsid w:val="00046D83"/>
    <w:rsid w:val="00046E6B"/>
    <w:rsid w:val="00052730"/>
    <w:rsid w:val="00060437"/>
    <w:rsid w:val="00065B9E"/>
    <w:rsid w:val="000667EE"/>
    <w:rsid w:val="000749FD"/>
    <w:rsid w:val="00081FC4"/>
    <w:rsid w:val="000830E3"/>
    <w:rsid w:val="00092441"/>
    <w:rsid w:val="00093C9D"/>
    <w:rsid w:val="000A07A3"/>
    <w:rsid w:val="000A18BD"/>
    <w:rsid w:val="000B2445"/>
    <w:rsid w:val="000C4CC2"/>
    <w:rsid w:val="000D025C"/>
    <w:rsid w:val="000E5387"/>
    <w:rsid w:val="000E666A"/>
    <w:rsid w:val="000E6F0D"/>
    <w:rsid w:val="000F0D3B"/>
    <w:rsid w:val="001003CC"/>
    <w:rsid w:val="0010654C"/>
    <w:rsid w:val="00113474"/>
    <w:rsid w:val="00120162"/>
    <w:rsid w:val="0012518F"/>
    <w:rsid w:val="001264BC"/>
    <w:rsid w:val="001316FD"/>
    <w:rsid w:val="001436AF"/>
    <w:rsid w:val="00145E1A"/>
    <w:rsid w:val="00147BEE"/>
    <w:rsid w:val="0016268A"/>
    <w:rsid w:val="00166082"/>
    <w:rsid w:val="00176038"/>
    <w:rsid w:val="00177B9B"/>
    <w:rsid w:val="00196982"/>
    <w:rsid w:val="001A45D6"/>
    <w:rsid w:val="001C7E81"/>
    <w:rsid w:val="001D3094"/>
    <w:rsid w:val="001F24BC"/>
    <w:rsid w:val="001F64E1"/>
    <w:rsid w:val="001F657E"/>
    <w:rsid w:val="001F6AB8"/>
    <w:rsid w:val="00202770"/>
    <w:rsid w:val="00204E18"/>
    <w:rsid w:val="0021471A"/>
    <w:rsid w:val="002155E6"/>
    <w:rsid w:val="002213D7"/>
    <w:rsid w:val="00230456"/>
    <w:rsid w:val="002318B9"/>
    <w:rsid w:val="00234D27"/>
    <w:rsid w:val="00242997"/>
    <w:rsid w:val="00251DE8"/>
    <w:rsid w:val="00254A2A"/>
    <w:rsid w:val="002601F3"/>
    <w:rsid w:val="00267739"/>
    <w:rsid w:val="00275467"/>
    <w:rsid w:val="002A3735"/>
    <w:rsid w:val="002B612E"/>
    <w:rsid w:val="002B7F7A"/>
    <w:rsid w:val="002C14D9"/>
    <w:rsid w:val="002E0122"/>
    <w:rsid w:val="002E27DE"/>
    <w:rsid w:val="002E3628"/>
    <w:rsid w:val="002E5C55"/>
    <w:rsid w:val="002E5EBE"/>
    <w:rsid w:val="002F1A34"/>
    <w:rsid w:val="002F6CC2"/>
    <w:rsid w:val="0032045B"/>
    <w:rsid w:val="00320FEA"/>
    <w:rsid w:val="00322C06"/>
    <w:rsid w:val="00327ADF"/>
    <w:rsid w:val="0033737D"/>
    <w:rsid w:val="0034481A"/>
    <w:rsid w:val="00352AD6"/>
    <w:rsid w:val="00356056"/>
    <w:rsid w:val="00360B9D"/>
    <w:rsid w:val="003615E5"/>
    <w:rsid w:val="00374335"/>
    <w:rsid w:val="003761B9"/>
    <w:rsid w:val="003A6697"/>
    <w:rsid w:val="003B6DF2"/>
    <w:rsid w:val="003C5AF1"/>
    <w:rsid w:val="003D37C9"/>
    <w:rsid w:val="003E0F53"/>
    <w:rsid w:val="003E4F75"/>
    <w:rsid w:val="003F044F"/>
    <w:rsid w:val="00400480"/>
    <w:rsid w:val="00400EC6"/>
    <w:rsid w:val="004078CB"/>
    <w:rsid w:val="004119E0"/>
    <w:rsid w:val="00414D58"/>
    <w:rsid w:val="00423E21"/>
    <w:rsid w:val="00424DB3"/>
    <w:rsid w:val="00425DE7"/>
    <w:rsid w:val="0042656D"/>
    <w:rsid w:val="00433117"/>
    <w:rsid w:val="004347D1"/>
    <w:rsid w:val="004358F0"/>
    <w:rsid w:val="0045307E"/>
    <w:rsid w:val="00453251"/>
    <w:rsid w:val="004566F7"/>
    <w:rsid w:val="00460D67"/>
    <w:rsid w:val="00470B16"/>
    <w:rsid w:val="004738EF"/>
    <w:rsid w:val="00477172"/>
    <w:rsid w:val="004842B6"/>
    <w:rsid w:val="004842D5"/>
    <w:rsid w:val="004857E4"/>
    <w:rsid w:val="004A2735"/>
    <w:rsid w:val="004B1080"/>
    <w:rsid w:val="004C0B6C"/>
    <w:rsid w:val="004C3AD6"/>
    <w:rsid w:val="004C7BA0"/>
    <w:rsid w:val="004C7DD3"/>
    <w:rsid w:val="004D069E"/>
    <w:rsid w:val="004D0CCC"/>
    <w:rsid w:val="004F460E"/>
    <w:rsid w:val="00504D4A"/>
    <w:rsid w:val="005271CC"/>
    <w:rsid w:val="00530C66"/>
    <w:rsid w:val="00536EED"/>
    <w:rsid w:val="00540B6A"/>
    <w:rsid w:val="00542462"/>
    <w:rsid w:val="005433FC"/>
    <w:rsid w:val="00554BEE"/>
    <w:rsid w:val="00556BE7"/>
    <w:rsid w:val="00571108"/>
    <w:rsid w:val="00583C97"/>
    <w:rsid w:val="00591111"/>
    <w:rsid w:val="005A7520"/>
    <w:rsid w:val="005B09E4"/>
    <w:rsid w:val="005B4803"/>
    <w:rsid w:val="005B7D64"/>
    <w:rsid w:val="005E6CB4"/>
    <w:rsid w:val="005F0E25"/>
    <w:rsid w:val="005F36D1"/>
    <w:rsid w:val="00600AAF"/>
    <w:rsid w:val="0060499A"/>
    <w:rsid w:val="006059F4"/>
    <w:rsid w:val="00620E00"/>
    <w:rsid w:val="00622E9A"/>
    <w:rsid w:val="00641E96"/>
    <w:rsid w:val="006519C1"/>
    <w:rsid w:val="006533BE"/>
    <w:rsid w:val="00655CED"/>
    <w:rsid w:val="00655F9F"/>
    <w:rsid w:val="00660094"/>
    <w:rsid w:val="0066274D"/>
    <w:rsid w:val="006877F1"/>
    <w:rsid w:val="00691130"/>
    <w:rsid w:val="006933B5"/>
    <w:rsid w:val="006A1C28"/>
    <w:rsid w:val="006A2177"/>
    <w:rsid w:val="006B065C"/>
    <w:rsid w:val="006B104A"/>
    <w:rsid w:val="006B23FE"/>
    <w:rsid w:val="006B4BCB"/>
    <w:rsid w:val="006C4B05"/>
    <w:rsid w:val="006C6A3D"/>
    <w:rsid w:val="006C6E8C"/>
    <w:rsid w:val="006D163E"/>
    <w:rsid w:val="006D36CC"/>
    <w:rsid w:val="006F7ED2"/>
    <w:rsid w:val="00705E29"/>
    <w:rsid w:val="00710B1F"/>
    <w:rsid w:val="007131C3"/>
    <w:rsid w:val="007267F5"/>
    <w:rsid w:val="00742C70"/>
    <w:rsid w:val="00754A11"/>
    <w:rsid w:val="00786C53"/>
    <w:rsid w:val="00794C72"/>
    <w:rsid w:val="007A01D6"/>
    <w:rsid w:val="007B748B"/>
    <w:rsid w:val="007C5790"/>
    <w:rsid w:val="007C5912"/>
    <w:rsid w:val="008021D9"/>
    <w:rsid w:val="008035D5"/>
    <w:rsid w:val="00803E72"/>
    <w:rsid w:val="00807852"/>
    <w:rsid w:val="00811491"/>
    <w:rsid w:val="00813D8B"/>
    <w:rsid w:val="00813ECE"/>
    <w:rsid w:val="00815377"/>
    <w:rsid w:val="00833376"/>
    <w:rsid w:val="008336B4"/>
    <w:rsid w:val="00833BF3"/>
    <w:rsid w:val="00836BB8"/>
    <w:rsid w:val="00850003"/>
    <w:rsid w:val="00850526"/>
    <w:rsid w:val="00862ACE"/>
    <w:rsid w:val="008662DA"/>
    <w:rsid w:val="00871827"/>
    <w:rsid w:val="00872A52"/>
    <w:rsid w:val="00876F50"/>
    <w:rsid w:val="00880C02"/>
    <w:rsid w:val="008831B0"/>
    <w:rsid w:val="008852A0"/>
    <w:rsid w:val="008854C3"/>
    <w:rsid w:val="00890525"/>
    <w:rsid w:val="008A07E9"/>
    <w:rsid w:val="008A6827"/>
    <w:rsid w:val="008B22A2"/>
    <w:rsid w:val="008B29FF"/>
    <w:rsid w:val="008D73FF"/>
    <w:rsid w:val="008E0691"/>
    <w:rsid w:val="008E7EC1"/>
    <w:rsid w:val="008F0E48"/>
    <w:rsid w:val="008F1152"/>
    <w:rsid w:val="0090127A"/>
    <w:rsid w:val="00903B03"/>
    <w:rsid w:val="009053A0"/>
    <w:rsid w:val="00907F29"/>
    <w:rsid w:val="00914F68"/>
    <w:rsid w:val="00930530"/>
    <w:rsid w:val="00932EE9"/>
    <w:rsid w:val="00947589"/>
    <w:rsid w:val="00965DD7"/>
    <w:rsid w:val="00972A21"/>
    <w:rsid w:val="00984BB7"/>
    <w:rsid w:val="00986B2C"/>
    <w:rsid w:val="00987F78"/>
    <w:rsid w:val="0099008B"/>
    <w:rsid w:val="00990DCE"/>
    <w:rsid w:val="00997ABD"/>
    <w:rsid w:val="009A311C"/>
    <w:rsid w:val="009A6750"/>
    <w:rsid w:val="009B779E"/>
    <w:rsid w:val="009C2190"/>
    <w:rsid w:val="009C5886"/>
    <w:rsid w:val="009C79D8"/>
    <w:rsid w:val="009D06CC"/>
    <w:rsid w:val="009D6176"/>
    <w:rsid w:val="009E7392"/>
    <w:rsid w:val="009F5003"/>
    <w:rsid w:val="00A10DE0"/>
    <w:rsid w:val="00A1196B"/>
    <w:rsid w:val="00A23BB0"/>
    <w:rsid w:val="00A354EC"/>
    <w:rsid w:val="00A53C81"/>
    <w:rsid w:val="00A75823"/>
    <w:rsid w:val="00A84FBA"/>
    <w:rsid w:val="00A9268E"/>
    <w:rsid w:val="00AA4E11"/>
    <w:rsid w:val="00AA7BFB"/>
    <w:rsid w:val="00AB18CB"/>
    <w:rsid w:val="00AB2328"/>
    <w:rsid w:val="00AC5410"/>
    <w:rsid w:val="00AE30B0"/>
    <w:rsid w:val="00B01857"/>
    <w:rsid w:val="00B1453C"/>
    <w:rsid w:val="00B24379"/>
    <w:rsid w:val="00B377C4"/>
    <w:rsid w:val="00B40F74"/>
    <w:rsid w:val="00B43E66"/>
    <w:rsid w:val="00B50AE6"/>
    <w:rsid w:val="00B53C30"/>
    <w:rsid w:val="00B65C21"/>
    <w:rsid w:val="00B665C0"/>
    <w:rsid w:val="00B6705E"/>
    <w:rsid w:val="00B801BB"/>
    <w:rsid w:val="00B83D04"/>
    <w:rsid w:val="00B92341"/>
    <w:rsid w:val="00B932C7"/>
    <w:rsid w:val="00B95788"/>
    <w:rsid w:val="00BA38DA"/>
    <w:rsid w:val="00BA5E9A"/>
    <w:rsid w:val="00BB59DB"/>
    <w:rsid w:val="00BC3C2B"/>
    <w:rsid w:val="00BE4D35"/>
    <w:rsid w:val="00BF0F52"/>
    <w:rsid w:val="00C0162B"/>
    <w:rsid w:val="00C03348"/>
    <w:rsid w:val="00C17E7A"/>
    <w:rsid w:val="00C21E04"/>
    <w:rsid w:val="00C23F9E"/>
    <w:rsid w:val="00C37FCF"/>
    <w:rsid w:val="00C4757E"/>
    <w:rsid w:val="00C562AA"/>
    <w:rsid w:val="00C63E2B"/>
    <w:rsid w:val="00C654A8"/>
    <w:rsid w:val="00C65DCF"/>
    <w:rsid w:val="00C65E72"/>
    <w:rsid w:val="00C66F39"/>
    <w:rsid w:val="00C70F12"/>
    <w:rsid w:val="00C738E2"/>
    <w:rsid w:val="00C86618"/>
    <w:rsid w:val="00C934AF"/>
    <w:rsid w:val="00C95097"/>
    <w:rsid w:val="00CA314A"/>
    <w:rsid w:val="00CB508D"/>
    <w:rsid w:val="00CC273D"/>
    <w:rsid w:val="00CC793C"/>
    <w:rsid w:val="00CE4D63"/>
    <w:rsid w:val="00CF458F"/>
    <w:rsid w:val="00D04BF4"/>
    <w:rsid w:val="00D2537C"/>
    <w:rsid w:val="00D26956"/>
    <w:rsid w:val="00D3621E"/>
    <w:rsid w:val="00D527ED"/>
    <w:rsid w:val="00D545D6"/>
    <w:rsid w:val="00D561EE"/>
    <w:rsid w:val="00D70F44"/>
    <w:rsid w:val="00D7195F"/>
    <w:rsid w:val="00D72BDA"/>
    <w:rsid w:val="00D8525D"/>
    <w:rsid w:val="00D92623"/>
    <w:rsid w:val="00DD267C"/>
    <w:rsid w:val="00DD6466"/>
    <w:rsid w:val="00DE6A63"/>
    <w:rsid w:val="00DF19C8"/>
    <w:rsid w:val="00DF5D57"/>
    <w:rsid w:val="00E00944"/>
    <w:rsid w:val="00E04054"/>
    <w:rsid w:val="00E1289B"/>
    <w:rsid w:val="00E4080C"/>
    <w:rsid w:val="00E43ED0"/>
    <w:rsid w:val="00E549CB"/>
    <w:rsid w:val="00E941A6"/>
    <w:rsid w:val="00EB05F1"/>
    <w:rsid w:val="00EB1424"/>
    <w:rsid w:val="00EB6F57"/>
    <w:rsid w:val="00EC1483"/>
    <w:rsid w:val="00ED7886"/>
    <w:rsid w:val="00EE05C3"/>
    <w:rsid w:val="00EE59D1"/>
    <w:rsid w:val="00EF1F5B"/>
    <w:rsid w:val="00EF6259"/>
    <w:rsid w:val="00F01287"/>
    <w:rsid w:val="00F1283B"/>
    <w:rsid w:val="00F25745"/>
    <w:rsid w:val="00F2728B"/>
    <w:rsid w:val="00F32110"/>
    <w:rsid w:val="00F33362"/>
    <w:rsid w:val="00F34E65"/>
    <w:rsid w:val="00F44EC4"/>
    <w:rsid w:val="00F506ED"/>
    <w:rsid w:val="00F63CE3"/>
    <w:rsid w:val="00F76116"/>
    <w:rsid w:val="00F8770D"/>
    <w:rsid w:val="00F903AD"/>
    <w:rsid w:val="00F90836"/>
    <w:rsid w:val="00F93BB7"/>
    <w:rsid w:val="00F955DA"/>
    <w:rsid w:val="00FA4B6C"/>
    <w:rsid w:val="00FB1000"/>
    <w:rsid w:val="00FB4F52"/>
    <w:rsid w:val="00FB698F"/>
    <w:rsid w:val="00FB7D5E"/>
    <w:rsid w:val="00FC238F"/>
    <w:rsid w:val="00FC7F0C"/>
    <w:rsid w:val="00FD05B8"/>
    <w:rsid w:val="00FD3318"/>
    <w:rsid w:val="00FD493D"/>
    <w:rsid w:val="00FE0BED"/>
    <w:rsid w:val="00FE0EB5"/>
    <w:rsid w:val="00FE3A2E"/>
    <w:rsid w:val="00FE5B62"/>
    <w:rsid w:val="00FE6833"/>
    <w:rsid w:val="00FE7E98"/>
    <w:rsid w:val="00FF1C2F"/>
    <w:rsid w:val="00FF2730"/>
    <w:rsid w:val="00FF37A9"/>
    <w:rsid w:val="00FF613C"/>
    <w:rsid w:val="016A5229"/>
    <w:rsid w:val="01EA636A"/>
    <w:rsid w:val="01FF3BC3"/>
    <w:rsid w:val="02484D0A"/>
    <w:rsid w:val="02D11A72"/>
    <w:rsid w:val="03361E7B"/>
    <w:rsid w:val="03EF1A15"/>
    <w:rsid w:val="03F7663C"/>
    <w:rsid w:val="04C87CD4"/>
    <w:rsid w:val="061E54C3"/>
    <w:rsid w:val="0639166E"/>
    <w:rsid w:val="06691F53"/>
    <w:rsid w:val="06BB2615"/>
    <w:rsid w:val="07344BC6"/>
    <w:rsid w:val="07396493"/>
    <w:rsid w:val="074B78AB"/>
    <w:rsid w:val="08095B61"/>
    <w:rsid w:val="080B2B96"/>
    <w:rsid w:val="089F1C5C"/>
    <w:rsid w:val="08D6027D"/>
    <w:rsid w:val="09023F99"/>
    <w:rsid w:val="0A261F09"/>
    <w:rsid w:val="0A7E3AF3"/>
    <w:rsid w:val="0AB032EF"/>
    <w:rsid w:val="0AEB48FD"/>
    <w:rsid w:val="0B7D7D83"/>
    <w:rsid w:val="0BA61553"/>
    <w:rsid w:val="0BCE10CE"/>
    <w:rsid w:val="0C104DD2"/>
    <w:rsid w:val="0C504841"/>
    <w:rsid w:val="0C525237"/>
    <w:rsid w:val="0C99751F"/>
    <w:rsid w:val="0D2070E4"/>
    <w:rsid w:val="0DE96689"/>
    <w:rsid w:val="0DFC545B"/>
    <w:rsid w:val="0E130163"/>
    <w:rsid w:val="0E2449B2"/>
    <w:rsid w:val="0EFB1BB6"/>
    <w:rsid w:val="0F4B5AD7"/>
    <w:rsid w:val="0F753D42"/>
    <w:rsid w:val="0FA80E16"/>
    <w:rsid w:val="0FBB6FD7"/>
    <w:rsid w:val="10DD5B5F"/>
    <w:rsid w:val="11291007"/>
    <w:rsid w:val="114E421F"/>
    <w:rsid w:val="12015736"/>
    <w:rsid w:val="12623518"/>
    <w:rsid w:val="12E806A4"/>
    <w:rsid w:val="133319D4"/>
    <w:rsid w:val="135B5CE8"/>
    <w:rsid w:val="13737201"/>
    <w:rsid w:val="13946063"/>
    <w:rsid w:val="13C945E3"/>
    <w:rsid w:val="13D87533"/>
    <w:rsid w:val="14610CB5"/>
    <w:rsid w:val="14634486"/>
    <w:rsid w:val="14AD3953"/>
    <w:rsid w:val="14D47131"/>
    <w:rsid w:val="158628CD"/>
    <w:rsid w:val="15914E98"/>
    <w:rsid w:val="15F335E7"/>
    <w:rsid w:val="16300397"/>
    <w:rsid w:val="16A11295"/>
    <w:rsid w:val="170A0BE8"/>
    <w:rsid w:val="18025D64"/>
    <w:rsid w:val="182932F0"/>
    <w:rsid w:val="1908001F"/>
    <w:rsid w:val="19BB4F3D"/>
    <w:rsid w:val="1B086445"/>
    <w:rsid w:val="1B7979E7"/>
    <w:rsid w:val="1BA75FED"/>
    <w:rsid w:val="1BAB226E"/>
    <w:rsid w:val="1C11546D"/>
    <w:rsid w:val="1C177BBE"/>
    <w:rsid w:val="1C230045"/>
    <w:rsid w:val="1D0F459D"/>
    <w:rsid w:val="1D81772B"/>
    <w:rsid w:val="1E691532"/>
    <w:rsid w:val="1EA12894"/>
    <w:rsid w:val="1EDA5344"/>
    <w:rsid w:val="1EE2244B"/>
    <w:rsid w:val="1EFF6798"/>
    <w:rsid w:val="1F8359DC"/>
    <w:rsid w:val="1FE12702"/>
    <w:rsid w:val="1FFC753C"/>
    <w:rsid w:val="200308CB"/>
    <w:rsid w:val="20163296"/>
    <w:rsid w:val="2050660B"/>
    <w:rsid w:val="20E26732"/>
    <w:rsid w:val="212154AC"/>
    <w:rsid w:val="22596EC8"/>
    <w:rsid w:val="228F430F"/>
    <w:rsid w:val="22CB7D75"/>
    <w:rsid w:val="22F3243C"/>
    <w:rsid w:val="230F7587"/>
    <w:rsid w:val="238F4944"/>
    <w:rsid w:val="23AE0B4E"/>
    <w:rsid w:val="24677921"/>
    <w:rsid w:val="25006575"/>
    <w:rsid w:val="259A141B"/>
    <w:rsid w:val="262664D8"/>
    <w:rsid w:val="263F0183"/>
    <w:rsid w:val="26C10D58"/>
    <w:rsid w:val="26C14A0E"/>
    <w:rsid w:val="2738099E"/>
    <w:rsid w:val="273E668C"/>
    <w:rsid w:val="276460F3"/>
    <w:rsid w:val="279544FE"/>
    <w:rsid w:val="28795BCE"/>
    <w:rsid w:val="28E13773"/>
    <w:rsid w:val="28E850A3"/>
    <w:rsid w:val="28FE4325"/>
    <w:rsid w:val="29D4444C"/>
    <w:rsid w:val="2A147B8D"/>
    <w:rsid w:val="2AA10364"/>
    <w:rsid w:val="2BD33847"/>
    <w:rsid w:val="2C025EDA"/>
    <w:rsid w:val="2C187190"/>
    <w:rsid w:val="2C4A747F"/>
    <w:rsid w:val="2C7548FE"/>
    <w:rsid w:val="2CD42BE2"/>
    <w:rsid w:val="2D9214E0"/>
    <w:rsid w:val="2DD13DB6"/>
    <w:rsid w:val="2E0D655D"/>
    <w:rsid w:val="2E2E7F5D"/>
    <w:rsid w:val="2E690493"/>
    <w:rsid w:val="2EAF713F"/>
    <w:rsid w:val="2F223AE5"/>
    <w:rsid w:val="2FBC2844"/>
    <w:rsid w:val="2FD22574"/>
    <w:rsid w:val="2FF43D8C"/>
    <w:rsid w:val="2FFB2EAB"/>
    <w:rsid w:val="302A6BF3"/>
    <w:rsid w:val="30BE2D79"/>
    <w:rsid w:val="30F0723E"/>
    <w:rsid w:val="312608BD"/>
    <w:rsid w:val="322272D6"/>
    <w:rsid w:val="325E49B3"/>
    <w:rsid w:val="3260395B"/>
    <w:rsid w:val="32A001FB"/>
    <w:rsid w:val="32B2617B"/>
    <w:rsid w:val="33811DDB"/>
    <w:rsid w:val="33977850"/>
    <w:rsid w:val="34963664"/>
    <w:rsid w:val="34D729A4"/>
    <w:rsid w:val="34E16FD5"/>
    <w:rsid w:val="363F7524"/>
    <w:rsid w:val="36E0150E"/>
    <w:rsid w:val="378671F7"/>
    <w:rsid w:val="38325D99"/>
    <w:rsid w:val="38BB7B3D"/>
    <w:rsid w:val="394C6AB8"/>
    <w:rsid w:val="398C3287"/>
    <w:rsid w:val="399860D0"/>
    <w:rsid w:val="39C45525"/>
    <w:rsid w:val="39DD3AE3"/>
    <w:rsid w:val="39E44E71"/>
    <w:rsid w:val="39F8091D"/>
    <w:rsid w:val="3A1F234D"/>
    <w:rsid w:val="3A3A0F35"/>
    <w:rsid w:val="3A7E73FE"/>
    <w:rsid w:val="3A8E5D2E"/>
    <w:rsid w:val="3C0812EB"/>
    <w:rsid w:val="3C4223C4"/>
    <w:rsid w:val="3C833CE0"/>
    <w:rsid w:val="3C9A629B"/>
    <w:rsid w:val="3C9C1A33"/>
    <w:rsid w:val="3DD1395F"/>
    <w:rsid w:val="3DE2791A"/>
    <w:rsid w:val="3E442382"/>
    <w:rsid w:val="3EB63280"/>
    <w:rsid w:val="3EBB5ABB"/>
    <w:rsid w:val="3F1F119E"/>
    <w:rsid w:val="3F93536F"/>
    <w:rsid w:val="3F9566E9"/>
    <w:rsid w:val="401144E6"/>
    <w:rsid w:val="41E12ECE"/>
    <w:rsid w:val="427C658F"/>
    <w:rsid w:val="428216CB"/>
    <w:rsid w:val="42AE426E"/>
    <w:rsid w:val="42C02EB8"/>
    <w:rsid w:val="42E934F8"/>
    <w:rsid w:val="430222CA"/>
    <w:rsid w:val="432F1853"/>
    <w:rsid w:val="437454B8"/>
    <w:rsid w:val="43A61297"/>
    <w:rsid w:val="443864E5"/>
    <w:rsid w:val="444C2BC0"/>
    <w:rsid w:val="46C261B5"/>
    <w:rsid w:val="476D399F"/>
    <w:rsid w:val="478D08F6"/>
    <w:rsid w:val="482E62B2"/>
    <w:rsid w:val="48FD0991"/>
    <w:rsid w:val="49AB38FA"/>
    <w:rsid w:val="4AAE5A38"/>
    <w:rsid w:val="4B476367"/>
    <w:rsid w:val="4B7122DD"/>
    <w:rsid w:val="4BA206E8"/>
    <w:rsid w:val="4CE216E4"/>
    <w:rsid w:val="4D07739D"/>
    <w:rsid w:val="4D1928EF"/>
    <w:rsid w:val="4D8B6B9D"/>
    <w:rsid w:val="4E9764FE"/>
    <w:rsid w:val="4F336DFF"/>
    <w:rsid w:val="4FAD04E7"/>
    <w:rsid w:val="500479A7"/>
    <w:rsid w:val="50086F0B"/>
    <w:rsid w:val="501222E0"/>
    <w:rsid w:val="5025159A"/>
    <w:rsid w:val="507A1C34"/>
    <w:rsid w:val="510C0730"/>
    <w:rsid w:val="5139564B"/>
    <w:rsid w:val="51FB0B52"/>
    <w:rsid w:val="5268671C"/>
    <w:rsid w:val="52AA06F9"/>
    <w:rsid w:val="53142E77"/>
    <w:rsid w:val="53876B42"/>
    <w:rsid w:val="539171BF"/>
    <w:rsid w:val="539E248C"/>
    <w:rsid w:val="54302D35"/>
    <w:rsid w:val="54DF0932"/>
    <w:rsid w:val="55254A9D"/>
    <w:rsid w:val="55823A64"/>
    <w:rsid w:val="55D43599"/>
    <w:rsid w:val="55F975FE"/>
    <w:rsid w:val="563D61CF"/>
    <w:rsid w:val="56EC58D0"/>
    <w:rsid w:val="571050A0"/>
    <w:rsid w:val="57AD4172"/>
    <w:rsid w:val="57FD5624"/>
    <w:rsid w:val="58456894"/>
    <w:rsid w:val="59C30CC7"/>
    <w:rsid w:val="5AC832A1"/>
    <w:rsid w:val="5B1E5257"/>
    <w:rsid w:val="5C0F1DCA"/>
    <w:rsid w:val="5C6C4B26"/>
    <w:rsid w:val="5C7D452D"/>
    <w:rsid w:val="5D89445B"/>
    <w:rsid w:val="5DEA7DBC"/>
    <w:rsid w:val="5E565A8E"/>
    <w:rsid w:val="5E853A65"/>
    <w:rsid w:val="5F2B2A77"/>
    <w:rsid w:val="5F3D27AA"/>
    <w:rsid w:val="5F9A19AB"/>
    <w:rsid w:val="5FF02CC5"/>
    <w:rsid w:val="61047A23"/>
    <w:rsid w:val="614B5652"/>
    <w:rsid w:val="615362B5"/>
    <w:rsid w:val="6189617B"/>
    <w:rsid w:val="625C73EB"/>
    <w:rsid w:val="62913539"/>
    <w:rsid w:val="62CA1231"/>
    <w:rsid w:val="62CC631F"/>
    <w:rsid w:val="63665421"/>
    <w:rsid w:val="638B7F88"/>
    <w:rsid w:val="642A59F3"/>
    <w:rsid w:val="64645705"/>
    <w:rsid w:val="64AB05AF"/>
    <w:rsid w:val="65457DE3"/>
    <w:rsid w:val="661324CC"/>
    <w:rsid w:val="661B1498"/>
    <w:rsid w:val="662841B4"/>
    <w:rsid w:val="66326DE1"/>
    <w:rsid w:val="66434B4A"/>
    <w:rsid w:val="66AA4BC9"/>
    <w:rsid w:val="66D87988"/>
    <w:rsid w:val="670C1694"/>
    <w:rsid w:val="6974085D"/>
    <w:rsid w:val="69B01AB3"/>
    <w:rsid w:val="6A1862EE"/>
    <w:rsid w:val="6A1D1B56"/>
    <w:rsid w:val="6AB57FE0"/>
    <w:rsid w:val="6B0E57FE"/>
    <w:rsid w:val="6BC265AD"/>
    <w:rsid w:val="6C304865"/>
    <w:rsid w:val="6C5543FB"/>
    <w:rsid w:val="6C570537"/>
    <w:rsid w:val="6CE26FB1"/>
    <w:rsid w:val="6CFA1CDB"/>
    <w:rsid w:val="6D7C306D"/>
    <w:rsid w:val="6DB427D1"/>
    <w:rsid w:val="6DB93944"/>
    <w:rsid w:val="6DF52634"/>
    <w:rsid w:val="6E8E3022"/>
    <w:rsid w:val="6EBA5BC5"/>
    <w:rsid w:val="6EF256E4"/>
    <w:rsid w:val="6F2179F2"/>
    <w:rsid w:val="6F8B1310"/>
    <w:rsid w:val="70AC7790"/>
    <w:rsid w:val="72367C59"/>
    <w:rsid w:val="7265409A"/>
    <w:rsid w:val="735E7467"/>
    <w:rsid w:val="73682094"/>
    <w:rsid w:val="74CB6E5F"/>
    <w:rsid w:val="75154854"/>
    <w:rsid w:val="757E5B9F"/>
    <w:rsid w:val="758D4034"/>
    <w:rsid w:val="75AB44BA"/>
    <w:rsid w:val="75CA0DE4"/>
    <w:rsid w:val="75E64D6F"/>
    <w:rsid w:val="75F61BD9"/>
    <w:rsid w:val="76102AA0"/>
    <w:rsid w:val="76830F93"/>
    <w:rsid w:val="76A5715B"/>
    <w:rsid w:val="76E6275A"/>
    <w:rsid w:val="779A73D7"/>
    <w:rsid w:val="77B71C01"/>
    <w:rsid w:val="78577977"/>
    <w:rsid w:val="786F6983"/>
    <w:rsid w:val="78A206ED"/>
    <w:rsid w:val="791D56CF"/>
    <w:rsid w:val="792C5912"/>
    <w:rsid w:val="796E7CD8"/>
    <w:rsid w:val="79806CB3"/>
    <w:rsid w:val="79FA5A10"/>
    <w:rsid w:val="7A772BBC"/>
    <w:rsid w:val="7A884DCA"/>
    <w:rsid w:val="7A94376E"/>
    <w:rsid w:val="7AB71C94"/>
    <w:rsid w:val="7AE85868"/>
    <w:rsid w:val="7B7610C6"/>
    <w:rsid w:val="7B77189B"/>
    <w:rsid w:val="7C477E8A"/>
    <w:rsid w:val="7C5D7262"/>
    <w:rsid w:val="7CDE5175"/>
    <w:rsid w:val="7D0A41BC"/>
    <w:rsid w:val="7E11452D"/>
    <w:rsid w:val="7E6A3F92"/>
    <w:rsid w:val="7F08472B"/>
    <w:rsid w:val="7F482D79"/>
    <w:rsid w:val="7FF55D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 w:type="character" w:customStyle="1" w:styleId="8">
    <w:name w:val="页脚 Char"/>
    <w:link w:val="2"/>
    <w:uiPriority w:val="0"/>
    <w:rPr>
      <w:rFonts w:ascii="Calibri" w:hAnsi="Calibri"/>
      <w:kern w:val="2"/>
      <w:sz w:val="18"/>
      <w:szCs w:val="18"/>
    </w:rPr>
  </w:style>
  <w:style w:type="character" w:customStyle="1" w:styleId="9">
    <w:name w:val="页眉 Char"/>
    <w:link w:val="3"/>
    <w:qFormat/>
    <w:uiPriority w:val="0"/>
    <w:rPr>
      <w:rFonts w:ascii="Calibri" w:hAnsi="Calibri"/>
      <w:kern w:val="2"/>
      <w:sz w:val="18"/>
      <w:szCs w:val="18"/>
    </w:rPr>
  </w:style>
  <w:style w:type="paragraph" w:customStyle="1" w:styleId="10">
    <w:name w:val="Other|1"/>
    <w:basedOn w:val="1"/>
    <w:qFormat/>
    <w:uiPriority w:val="0"/>
    <w:pPr>
      <w:widowControl w:val="0"/>
      <w:shd w:val="clear" w:color="auto" w:fill="auto"/>
      <w:spacing w:line="437" w:lineRule="auto"/>
      <w:ind w:firstLine="400"/>
    </w:pPr>
    <w:rPr>
      <w:rFonts w:ascii="宋体" w:hAnsi="宋体" w:eastAsia="宋体" w:cs="宋体"/>
      <w:sz w:val="28"/>
      <w:szCs w:val="28"/>
      <w:u w:val="none"/>
      <w:shd w:val="clear" w:color="auto" w:fill="auto"/>
      <w:lang w:val="zh-TW" w:eastAsia="zh-TW" w:bidi="zh-TW"/>
    </w:rPr>
  </w:style>
  <w:style w:type="paragraph" w:customStyle="1" w:styleId="11">
    <w:name w:val="Body text|4"/>
    <w:basedOn w:val="1"/>
    <w:qFormat/>
    <w:uiPriority w:val="0"/>
    <w:pPr>
      <w:widowControl w:val="0"/>
      <w:shd w:val="clear" w:color="auto" w:fill="auto"/>
      <w:spacing w:after="40"/>
      <w:jc w:val="center"/>
    </w:pPr>
    <w:rPr>
      <w:rFonts w:ascii="宋体" w:hAnsi="宋体" w:eastAsia="宋体" w:cs="宋体"/>
      <w:sz w:val="20"/>
      <w:szCs w:val="20"/>
      <w:u w:val="none"/>
      <w:shd w:val="clear" w:color="auto" w:fill="auto"/>
      <w:lang w:val="zh-TW" w:eastAsia="zh-TW" w:bidi="zh-TW"/>
    </w:rPr>
  </w:style>
  <w:style w:type="paragraph" w:customStyle="1" w:styleId="12">
    <w:name w:val="Heading #2|1"/>
    <w:basedOn w:val="1"/>
    <w:qFormat/>
    <w:uiPriority w:val="0"/>
    <w:pPr>
      <w:widowControl w:val="0"/>
      <w:shd w:val="clear" w:color="auto" w:fill="auto"/>
      <w:spacing w:after="20"/>
      <w:jc w:val="center"/>
      <w:outlineLvl w:val="1"/>
    </w:pPr>
    <w:rPr>
      <w:rFonts w:ascii="宋体" w:hAnsi="宋体" w:eastAsia="宋体" w:cs="宋体"/>
      <w:sz w:val="34"/>
      <w:szCs w:val="34"/>
      <w:u w:val="none"/>
      <w:shd w:val="clear" w:color="auto" w:fill="auto"/>
      <w:lang w:val="zh-TW" w:eastAsia="zh-TW" w:bidi="zh-TW"/>
    </w:rPr>
  </w:style>
  <w:style w:type="paragraph" w:customStyle="1" w:styleId="13">
    <w:name w:val="Body text|2"/>
    <w:basedOn w:val="1"/>
    <w:qFormat/>
    <w:uiPriority w:val="0"/>
    <w:pPr>
      <w:widowControl w:val="0"/>
      <w:shd w:val="clear" w:color="auto" w:fill="auto"/>
      <w:spacing w:line="627" w:lineRule="exact"/>
      <w:ind w:firstLine="620"/>
    </w:pPr>
    <w:rPr>
      <w:rFonts w:ascii="宋体" w:hAnsi="宋体" w:eastAsia="宋体" w:cs="宋体"/>
      <w:sz w:val="32"/>
      <w:szCs w:val="32"/>
      <w:u w:val="none"/>
      <w:shd w:val="clear" w:color="auto" w:fill="auto"/>
      <w:lang w:val="zh-TW" w:eastAsia="zh-TW" w:bidi="zh-TW"/>
    </w:rPr>
  </w:style>
  <w:style w:type="paragraph" w:customStyle="1" w:styleId="14">
    <w:name w:val="Body text|1"/>
    <w:basedOn w:val="1"/>
    <w:qFormat/>
    <w:uiPriority w:val="0"/>
    <w:pPr>
      <w:widowControl w:val="0"/>
      <w:shd w:val="clear" w:color="auto" w:fill="auto"/>
      <w:spacing w:line="437" w:lineRule="auto"/>
      <w:ind w:firstLine="400"/>
    </w:pPr>
    <w:rPr>
      <w:rFonts w:ascii="宋体" w:hAnsi="宋体" w:eastAsia="宋体" w:cs="宋体"/>
      <w:sz w:val="28"/>
      <w:szCs w:val="28"/>
      <w:u w:val="none"/>
      <w:shd w:val="clear" w:color="auto" w:fill="auto"/>
      <w:lang w:val="zh-TW" w:eastAsia="zh-TW" w:bidi="zh-TW"/>
    </w:rPr>
  </w:style>
  <w:style w:type="paragraph" w:customStyle="1" w:styleId="15">
    <w:name w:val="公文正文"/>
    <w:basedOn w:val="1"/>
    <w:next w:val="1"/>
    <w:qFormat/>
    <w:uiPriority w:val="0"/>
    <w:pPr>
      <w:ind w:firstLine="602" w:firstLineChars="200"/>
    </w:pPr>
    <w:rPr>
      <w:rFonts w:hint="eastAsia" w:ascii="仿宋" w:hAnsi="仿宋" w:eastAsia="仿宋" w:cs="仿宋"/>
      <w:sz w:val="32"/>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6700;&#38754;\2021&#24180;&#20915;&#31639;&#12289;2022&#24180;&#39044;&#31639;\2022&#24180;&#21776;&#27827;&#21439;&#20132;&#36890;&#36816;&#36755;&#23616;&#37096;&#38376;&#39044;&#31639;&#20844;&#24320;&#35828;&#26126;&#65288;&#20462;&#25913;&#29256;&#65289;.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2022年唐河县交通运输局部门预算公开说明（修改版）.docx</Template>
  <Pages>23</Pages>
  <Words>9505</Words>
  <Characters>13012</Characters>
  <Lines>23</Lines>
  <Paragraphs>6</Paragraphs>
  <TotalTime>16</TotalTime>
  <ScaleCrop>false</ScaleCrop>
  <LinksUpToDate>false</LinksUpToDate>
  <CharactersWithSpaces>13373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2023-10-18T02:24:00Z</dcterms:created>
  <dc:creator>86156</dc:creator>
  <cp:lastModifiedBy>86156</cp:lastModifiedBy>
  <dcterms:modified xsi:type="dcterms:W3CDTF">2023-10-19T09:02:43Z</dcterms:modified>
  <dc:title>2017年度省级部门预算公开参考格式</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2FAA13FB7C544448A2B2BD461FA75346_11</vt:lpwstr>
  </property>
</Properties>
</file>