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大标宋简体" w:hAnsi="Times New Roman" w:eastAsia="方正大标宋简体" w:cs="Times New Roman"/>
          <w:color w:val="FF0000"/>
          <w:spacing w:val="79"/>
          <w:w w:val="90"/>
          <w:sz w:val="80"/>
          <w:szCs w:val="80"/>
          <w:lang w:eastAsia="zh-CN"/>
        </w:rPr>
      </w:pPr>
      <w:r>
        <w:rPr>
          <w:rFonts w:hint="eastAsia" w:ascii="方正大标宋简体" w:hAnsi="Times New Roman" w:eastAsia="方正大标宋简体" w:cs="Times New Roman"/>
          <w:color w:val="FF0000"/>
          <w:spacing w:val="113"/>
          <w:w w:val="90"/>
          <w:sz w:val="80"/>
          <w:szCs w:val="80"/>
          <w:lang w:eastAsia="zh-CN"/>
        </w:rPr>
        <w:t>唐河县交通运输</w:t>
      </w:r>
      <w:r>
        <w:rPr>
          <w:rFonts w:hint="eastAsia" w:ascii="方正大标宋简体" w:hAnsi="Times New Roman" w:eastAsia="方正大标宋简体" w:cs="Times New Roman"/>
          <w:color w:val="FF0000"/>
          <w:spacing w:val="79"/>
          <w:w w:val="90"/>
          <w:sz w:val="80"/>
          <w:szCs w:val="80"/>
          <w:lang w:eastAsia="zh-CN"/>
        </w:rPr>
        <w:t>局</w:t>
      </w:r>
    </w:p>
    <w:p>
      <w:pPr>
        <w:rPr>
          <w:sz w:val="21"/>
        </w:rPr>
      </w:pPr>
      <w:r>
        <w:rPr>
          <w:sz w:val="21"/>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71120</wp:posOffset>
                </wp:positionV>
                <wp:extent cx="519620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19620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pt;margin-top:5.6pt;height:0pt;width:409.15pt;z-index:251660288;mso-width-relative:page;mso-height-relative:page;" filled="f" stroked="t" coordsize="21600,21600" o:gfxdata="UEsDBAoAAAAAAIdO4kAAAAAAAAAAAAAAAAAEAAAAZHJzL1BLAwQUAAAACACHTuJAPsENwtUAAAAH&#10;AQAADwAAAGRycy9kb3ducmV2LnhtbE2OTUvDQBCG74L/YRnBm91NsKHGbIoIFT30YK3gcZOdJtHs&#10;bMhu0/jvHelBT8P7wTtPsZ5dLyYcQ+dJQ7JQIJBqbztqNOzfNjcrECEasqb3hBq+McC6vLwoTG79&#10;iV5x2sVG8AiF3GhoYxxyKUPdojNh4Qckzg5+dCayHBtpR3PicdfLVKlMOtMRf2jNgI8t1l+7o9Pw&#10;vnEf++dtJpef9Yt6eLo7zFU9aX19lah7EBHn+FeGX3xGh5KZKn8kG0SvIUu5yHbCl+NVersEUZ0N&#10;WRbyP3/5A1BLAwQUAAAACACHTuJAXlo7DecBAACyAwAADgAAAGRycy9lMm9Eb2MueG1srVPNjtMw&#10;EL4j8Q6W7zRppF2WqOketioXBJWAB5g6TmLJf/J4m/YleAEkbnDiyJ23YfcxGDttF5bLHsjBGY9n&#10;vvH3zXhxvTea7WRA5WzD57OSM2mFa5XtG/7xw/rFFWcYwbagnZUNP0jk18vnzxajr2XlBqdbGRiB&#10;WKxH3/AhRl8XBYpBGsCZ89LSYeeCgUjb0BdtgJHQjS6qsrwsRhdaH5yQiORdTYf8iBieAui6Tgm5&#10;cuLWSBsn1CA1RKKEg/LIl/m2XSdFfNd1KCPTDSemMa9UhOxtWovlAuo+gB+UOF4BnnKFR5wMKEtF&#10;z1AriMBug/oHyigRHLouzoQzxUQkK0Is5uUjbd4P4GXmQlKjP4uO/w9WvN1tAlNtwyvOLBhq+N3n&#10;H78+fb3/+YXWu+/fWJVEGj3WFHtjN+G4Q78JifG+Cyb9iQvbZ2EPZ2HlPjJBzov5q8uqvOBMnM6K&#10;h0QfML6WzrBkNFwrmzhDDbs3GKkYhZ5Cktu6tdI6901bNtIIVy9LaqcAGsaOhoBM44kQ2p4z0D1N&#10;uYghQ6LTqk3pCQhDv73Rge2AZmO9LulLTKncX2Gp9gpwmOLy0TQ1RkV6CFqZhl+l5FO2tgSS9JoU&#10;StbWtYcsXPZTK3OZ49ilWflzn7Mfntr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7BDcLVAAAA&#10;BwEAAA8AAAAAAAAAAQAgAAAAIgAAAGRycy9kb3ducmV2LnhtbFBLAQIUABQAAAAIAIdO4kBeWjsN&#10;5wEAALIDAAAOAAAAAAAAAAEAIAAAACQBAABkcnMvZTJvRG9jLnhtbFBLBQYAAAAABgAGAFkBAAB9&#10;BQAAAAA=&#10;">
                <v:fill on="f" focussize="0,0"/>
                <v:stroke weight="1pt" color="#FF0000 [3204]" miterlimit="8"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42545</wp:posOffset>
                </wp:positionV>
                <wp:extent cx="5196205" cy="0"/>
                <wp:effectExtent l="0" t="9525" r="4445" b="9525"/>
                <wp:wrapNone/>
                <wp:docPr id="1" name="直接连接符 1"/>
                <wp:cNvGraphicFramePr/>
                <a:graphic xmlns:a="http://schemas.openxmlformats.org/drawingml/2006/main">
                  <a:graphicData uri="http://schemas.microsoft.com/office/word/2010/wordprocessingShape">
                    <wps:wsp>
                      <wps:cNvCnPr/>
                      <wps:spPr>
                        <a:xfrm>
                          <a:off x="1108075" y="1598295"/>
                          <a:ext cx="519620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5pt;margin-top:3.35pt;height:0pt;width:409.15pt;z-index:251659264;mso-width-relative:page;mso-height-relative:page;" filled="f" stroked="t" coordsize="21600,21600" o:gfxdata="UEsDBAoAAAAAAIdO4kAAAAAAAAAAAAAAAAAEAAAAZHJzL1BLAwQUAAAACACHTuJAmE15L9EAAAAF&#10;AQAADwAAAGRycy9kb3ducmV2LnhtbE2OMW/CMBSE90r8B+shdStOUkqjNA5DJRY2KFLXR/waR9jP&#10;UewA+fd1u7TT6XSnu6/e3p0VVxpD71lBvspAELde99wpOH3snkoQISJrtJ5JwUwBts3iocZK+xsf&#10;6HqMnUgjHCpUYGIcKilDa8hhWPmBOGVffnQYkx07qUe8pXFnZZFlG+mw5/RgcKB3Q+3lODkF+72J&#10;8wHd5/OL3hXTabblxedKPS7z7A1EpHv8K8MPfkKHJjGd/cQ6CKtgk6diklcQKS2L9RrE+dfLppb/&#10;6ZtvUEsDBBQAAAAIAIdO4kAua6vw9AEAAL4DAAAOAAAAZHJzL2Uyb0RvYy54bWytU82O0zAQviPx&#10;DpbvNEmlLG3UdA9blQuCSsADuI6dWPKfPN6mfQleAIkbnDhy521YHoOx092F3cseNgdnbM98M983&#10;49Xl0WhyEAGUsy2tZiUlwnLXKdu39NPH7asFJRCZ7Zh2VrT0JIBerl++WI2+EXM3ON2JQBDEQjP6&#10;lg4x+qYogA/CMJg5LyxeShcMi7gNfdEFNiK60cW8LC+K0YXOB8cFAJ5upkt6RgxPAXRSKi42jl8b&#10;YeOEGoRmESnBoDzQda5WSsHjeylBRKJbikxjXjEJ2vu0FusVa/rA/KD4uQT2lBIecDJMWUx6B7Vh&#10;kZHroB5BGcWDAyfjjDtTTESyIsiiKh9o82FgXmQuKDX4O9Hh+WD5u8MuENXhJFBimcGG33z5+fvz&#10;tz+/vuJ68+M7qZJIo4cGfa/sLpx34HchMT7KYNIfuZAjwlTlonxdU3JCu14u5st6ElkcI+HoUFfL&#10;i3mJDhw9cgOKexAfIL4RzpBktFQrm/izhh3eQsTE6Hrrko6t2yqtcw+1JSNmXJY1tpYzHEyJA4Gm&#10;8UgObE8J0z1OPI8hQ4LTqkvhCQhCv7/SgRwYzsl2W+KXqsZ0/7ml3BsGw+SXryZyRkV8FFqZli5S&#10;8G20tgiStJvUStbedacsYj7HtuY05xFMc/PvPkffP7v1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hNeS/RAAAABQEAAA8AAAAAAAAAAQAgAAAAIgAAAGRycy9kb3ducmV2LnhtbFBLAQIUABQAAAAI&#10;AIdO4kAua6vw9AEAAL4DAAAOAAAAAAAAAAEAIAAAACABAABkcnMvZTJvRG9jLnhtbFBLBQYAAAAA&#10;BgAGAFkBAACGBQAAAAA=&#10;">
                <v:fill on="f" focussize="0,0"/>
                <v:stroke weight="1.5pt" color="#FF0000 [3204]" miterlimit="8" joinstyle="miter"/>
                <v:imagedata o:title=""/>
                <o:lock v:ext="edit" aspectratio="f"/>
              </v:line>
            </w:pict>
          </mc:Fallback>
        </mc:AlternateContent>
      </w:r>
    </w:p>
    <w:p>
      <w:pPr>
        <w:jc w:val="center"/>
        <w:rPr>
          <w:rFonts w:hint="default" w:ascii="Microsoft Sans Serif" w:hAnsi="Microsoft Sans Serif" w:cs="Microsoft Sans Serif"/>
          <w:sz w:val="44"/>
        </w:rPr>
      </w:pPr>
      <w:r>
        <w:rPr>
          <w:rFonts w:hint="eastAsia" w:ascii="Microsoft Sans Serif" w:hAnsi="Microsoft Sans Serif" w:cs="Microsoft Sans Serif"/>
          <w:sz w:val="44"/>
          <w:lang w:val="en-US" w:eastAsia="zh-CN"/>
        </w:rPr>
        <w:t>唐河</w:t>
      </w:r>
      <w:r>
        <w:rPr>
          <w:rFonts w:hint="default" w:ascii="Microsoft Sans Serif" w:hAnsi="Microsoft Sans Serif" w:cs="Microsoft Sans Serif"/>
          <w:sz w:val="44"/>
        </w:rPr>
        <w:t>县交通运输局守信联合激励与失信联合惩戒管理工作制度</w:t>
      </w:r>
    </w:p>
    <w:p>
      <w:pPr>
        <w:pStyle w:val="7"/>
        <w:keepNext w:val="0"/>
        <w:keepLines w:val="0"/>
        <w:widowControl/>
        <w:suppressLineNumbers w:val="0"/>
        <w:spacing w:line="450" w:lineRule="atLeast"/>
        <w:ind w:left="0" w:firstLine="420"/>
        <w:jc w:val="center"/>
      </w:pPr>
      <w:r>
        <w:rPr>
          <w:rStyle w:val="10"/>
          <w:b/>
          <w:bCs/>
        </w:rPr>
        <w:t>第一章  总  则</w:t>
      </w:r>
    </w:p>
    <w:p>
      <w:pPr>
        <w:pStyle w:val="7"/>
        <w:keepNext w:val="0"/>
        <w:keepLines w:val="0"/>
        <w:widowControl/>
        <w:suppressLineNumbers w:val="0"/>
        <w:spacing w:line="450" w:lineRule="atLeast"/>
        <w:ind w:left="0" w:firstLine="0"/>
      </w:pPr>
      <w:r>
        <w:t>第一条　为倡导诚实守信、惩</w:t>
      </w:r>
      <w:bookmarkStart w:id="0" w:name="_GoBack"/>
      <w:bookmarkEnd w:id="0"/>
      <w:r>
        <w:t>戒失信，根据《国务院关于印发社会信用体系建设规划纲要（2014-2020年）的通知》（国发〔2014〕21号）、《国务院关于建立完善守信联合激励和失信联合惩戒制度加快推进社会诚信建设的指导意见》（国发〔2016〕33号）制定本办法。</w:t>
      </w:r>
    </w:p>
    <w:p>
      <w:pPr>
        <w:pStyle w:val="7"/>
        <w:keepNext w:val="0"/>
        <w:keepLines w:val="0"/>
        <w:widowControl/>
        <w:suppressLineNumbers w:val="0"/>
        <w:spacing w:line="450" w:lineRule="atLeast"/>
        <w:ind w:left="0" w:firstLine="0"/>
      </w:pPr>
      <w:r>
        <w:t>第二条　</w:t>
      </w:r>
      <w:r>
        <w:rPr>
          <w:rFonts w:hint="eastAsia"/>
          <w:lang w:val="en-US" w:eastAsia="zh-CN"/>
        </w:rPr>
        <w:t>唐河</w:t>
      </w:r>
      <w:r>
        <w:t>县行政区域内社会法人守信行为的联合激励与失信行为的联合惩戒，以及相关管理，适用本办法。法律、法规、规章另有规定的，从其规定。</w:t>
      </w:r>
    </w:p>
    <w:p>
      <w:pPr>
        <w:pStyle w:val="7"/>
        <w:keepNext w:val="0"/>
        <w:keepLines w:val="0"/>
        <w:widowControl/>
        <w:suppressLineNumbers w:val="0"/>
        <w:spacing w:line="450" w:lineRule="atLeast"/>
        <w:ind w:left="0" w:firstLine="0"/>
      </w:pPr>
      <w:r>
        <w:t>第三条　本制度所称社会法人，是指除国家机关以外的具有民事权利能力和民事行为能力，依法独立享有民事权利和承担民事义务的组织，包括企业法人、事业单位法人和社会团体法人。</w:t>
      </w:r>
    </w:p>
    <w:p>
      <w:pPr>
        <w:pStyle w:val="7"/>
        <w:keepNext w:val="0"/>
        <w:keepLines w:val="0"/>
        <w:widowControl/>
        <w:suppressLineNumbers w:val="0"/>
        <w:spacing w:line="450" w:lineRule="atLeast"/>
        <w:ind w:left="0" w:firstLine="0"/>
      </w:pPr>
      <w:r>
        <w:t>第四条　县发展和改革委员会负责协调推动本县社会法人守信联合激励与失信联合惩戒工作。</w:t>
      </w:r>
      <w:r>
        <w:rPr>
          <w:rFonts w:hint="eastAsia"/>
          <w:lang w:val="en-US" w:eastAsia="zh-CN"/>
        </w:rPr>
        <w:t>唐河</w:t>
      </w:r>
      <w:r>
        <w:t>县行政区域内行政机关、司法机关以及法律、法规授权的具有管理公共事务职能的组织（以下简称行政和社会管理机构）负责本单位及所涉及行业领域社会法人守信联合激励与失信联合惩戒工作。各县（市）区、开发区社会信用体系建设主管部门负责组织推动本级社会法人守信联合激励与失信联合惩戒工作。</w:t>
      </w:r>
    </w:p>
    <w:p>
      <w:pPr>
        <w:pStyle w:val="7"/>
        <w:keepNext w:val="0"/>
        <w:keepLines w:val="0"/>
        <w:widowControl/>
        <w:suppressLineNumbers w:val="0"/>
        <w:spacing w:line="450" w:lineRule="atLeast"/>
        <w:ind w:left="0" w:firstLine="420"/>
        <w:jc w:val="center"/>
      </w:pPr>
      <w:r>
        <w:rPr>
          <w:rStyle w:val="10"/>
          <w:b/>
          <w:bCs/>
        </w:rPr>
        <w:t>第二章  守信信息与守信联合激励</w:t>
      </w:r>
    </w:p>
    <w:p>
      <w:pPr>
        <w:pStyle w:val="7"/>
        <w:keepNext w:val="0"/>
        <w:keepLines w:val="0"/>
        <w:widowControl/>
        <w:suppressLineNumbers w:val="0"/>
        <w:spacing w:line="450" w:lineRule="atLeast"/>
        <w:ind w:left="0" w:firstLine="0"/>
      </w:pPr>
      <w:r>
        <w:t xml:space="preserve">第五条　社会法人的守信信息，是指经行政和社会管理机构认定且对社会法人信用状况起正面作用的信息，包括但不限于以下信息： </w:t>
      </w:r>
    </w:p>
    <w:p>
      <w:pPr>
        <w:pStyle w:val="7"/>
        <w:keepNext w:val="0"/>
        <w:keepLines w:val="0"/>
        <w:widowControl/>
        <w:suppressLineNumbers w:val="0"/>
        <w:spacing w:line="450" w:lineRule="atLeast"/>
        <w:ind w:left="0" w:firstLine="0"/>
      </w:pPr>
      <w:r>
        <w:t>（一）被工商、税务、环境和资源保护、安全生产、食品药品监督等行政和社会管理机构列为较好信用类别的信息；</w:t>
      </w:r>
    </w:p>
    <w:p>
      <w:pPr>
        <w:pStyle w:val="7"/>
        <w:keepNext w:val="0"/>
        <w:keepLines w:val="0"/>
        <w:widowControl/>
        <w:suppressLineNumbers w:val="0"/>
        <w:spacing w:line="450" w:lineRule="atLeast"/>
        <w:ind w:left="0" w:firstLine="0"/>
      </w:pPr>
      <w:r>
        <w:t>（二）获得国家、省、市有关部门认定的优秀称号、奖励的；</w:t>
      </w:r>
    </w:p>
    <w:p>
      <w:pPr>
        <w:pStyle w:val="7"/>
        <w:keepNext w:val="0"/>
        <w:keepLines w:val="0"/>
        <w:widowControl/>
        <w:suppressLineNumbers w:val="0"/>
        <w:spacing w:line="450" w:lineRule="atLeast"/>
        <w:ind w:left="0" w:firstLine="0"/>
      </w:pPr>
      <w:r>
        <w:t>（三）各级行政和社会管理机构认定的其他良好信用信息。</w:t>
      </w:r>
    </w:p>
    <w:p>
      <w:pPr>
        <w:pStyle w:val="7"/>
        <w:keepNext w:val="0"/>
        <w:keepLines w:val="0"/>
        <w:widowControl/>
        <w:suppressLineNumbers w:val="0"/>
        <w:spacing w:line="450" w:lineRule="atLeast"/>
        <w:ind w:left="0" w:firstLine="0"/>
      </w:pPr>
      <w:r>
        <w:t>第六条　各行政和社会管理机构依据法律、法规、规章，结合本部门职能和工作实际，制定守信信息的具体认定标准、程序等。守信信息应推送至</w:t>
      </w:r>
      <w:r>
        <w:rPr>
          <w:rFonts w:hint="eastAsia"/>
          <w:lang w:eastAsia="zh-CN"/>
        </w:rPr>
        <w:t>唐河</w:t>
      </w:r>
      <w:r>
        <w:t>县公共信用信息共享服务平台。</w:t>
      </w:r>
    </w:p>
    <w:p>
      <w:pPr>
        <w:pStyle w:val="7"/>
        <w:keepNext w:val="0"/>
        <w:keepLines w:val="0"/>
        <w:widowControl/>
        <w:suppressLineNumbers w:val="0"/>
        <w:spacing w:line="450" w:lineRule="atLeast"/>
        <w:ind w:left="0" w:firstLine="0"/>
      </w:pPr>
      <w:r>
        <w:t>第七条　对信用状况较好的社会法人，各行政和社会管理机构可根据具体情形依法采取以下激励措施：</w:t>
      </w:r>
    </w:p>
    <w:p>
      <w:pPr>
        <w:pStyle w:val="7"/>
        <w:keepNext w:val="0"/>
        <w:keepLines w:val="0"/>
        <w:widowControl/>
        <w:suppressLineNumbers w:val="0"/>
        <w:spacing w:line="450" w:lineRule="atLeast"/>
        <w:ind w:left="0" w:firstLine="0"/>
      </w:pPr>
      <w:r>
        <w:t>（一）依照市有关规定授予荣誉称号；</w:t>
      </w:r>
    </w:p>
    <w:p>
      <w:pPr>
        <w:pStyle w:val="7"/>
        <w:keepNext w:val="0"/>
        <w:keepLines w:val="0"/>
        <w:widowControl/>
        <w:suppressLineNumbers w:val="0"/>
        <w:spacing w:line="450" w:lineRule="atLeast"/>
        <w:ind w:left="0" w:firstLine="0"/>
      </w:pPr>
      <w:r>
        <w:t>（二）在行政审批等事项中，对连续三年无不良信用记录的社会法人，根据实际情况实施“绿色通道”和“容缺受理”等便利服务措施；</w:t>
      </w:r>
    </w:p>
    <w:p>
      <w:pPr>
        <w:pStyle w:val="7"/>
        <w:keepNext w:val="0"/>
        <w:keepLines w:val="0"/>
        <w:widowControl/>
        <w:suppressLineNumbers w:val="0"/>
        <w:spacing w:line="450" w:lineRule="atLeast"/>
        <w:ind w:left="0" w:firstLine="0"/>
      </w:pPr>
      <w:r>
        <w:t>（三）在实施财政性资金项目安排、招商引资配套优惠政策等各类政府优惠政策中，优先考虑诚信社会法人，加大扶持力度；</w:t>
      </w:r>
    </w:p>
    <w:p>
      <w:pPr>
        <w:pStyle w:val="7"/>
        <w:keepNext w:val="0"/>
        <w:keepLines w:val="0"/>
        <w:widowControl/>
        <w:suppressLineNumbers w:val="0"/>
        <w:spacing w:line="450" w:lineRule="atLeast"/>
        <w:ind w:left="0" w:firstLine="0"/>
      </w:pPr>
      <w:r>
        <w:t>（四）在有关公共资源交易活动中，提倡依法依约对诚信社会法人采取信用加分等措施；</w:t>
      </w:r>
    </w:p>
    <w:p>
      <w:pPr>
        <w:pStyle w:val="7"/>
        <w:keepNext w:val="0"/>
        <w:keepLines w:val="0"/>
        <w:widowControl/>
        <w:suppressLineNumbers w:val="0"/>
        <w:spacing w:line="450" w:lineRule="atLeast"/>
        <w:ind w:left="0" w:firstLine="0"/>
      </w:pPr>
      <w:r>
        <w:t>（五）在日常检查、专项检查中优化检查频次；</w:t>
      </w:r>
    </w:p>
    <w:p>
      <w:pPr>
        <w:pStyle w:val="7"/>
        <w:keepNext w:val="0"/>
        <w:keepLines w:val="0"/>
        <w:widowControl/>
        <w:suppressLineNumbers w:val="0"/>
        <w:spacing w:line="450" w:lineRule="atLeast"/>
        <w:ind w:left="0" w:firstLine="0"/>
      </w:pPr>
      <w:r>
        <w:t>（六）相关政策允许的其他激励措施。</w:t>
      </w:r>
    </w:p>
    <w:p>
      <w:pPr>
        <w:pStyle w:val="7"/>
        <w:keepNext w:val="0"/>
        <w:keepLines w:val="0"/>
        <w:widowControl/>
        <w:suppressLineNumbers w:val="0"/>
        <w:spacing w:line="450" w:lineRule="atLeast"/>
        <w:ind w:left="0" w:firstLine="0"/>
      </w:pPr>
      <w:r>
        <w:t>第八条　各行政和社会管理机构根据法律、法规、规章，制定本单位及所涉及行业领域具体守信激励制度。以环境和资源保护、安全生产、食品药品安全、政府采购与招标投标、社会保障、财政性资金项目安排、税收等领域为重点，逐步建立健全社会法人守信行为联合激励体系。</w:t>
      </w:r>
    </w:p>
    <w:p>
      <w:pPr>
        <w:pStyle w:val="7"/>
        <w:keepNext w:val="0"/>
        <w:keepLines w:val="0"/>
        <w:widowControl/>
        <w:suppressLineNumbers w:val="0"/>
        <w:spacing w:line="450" w:lineRule="atLeast"/>
        <w:ind w:left="0" w:firstLine="420"/>
        <w:jc w:val="center"/>
      </w:pPr>
      <w:r>
        <w:rPr>
          <w:rStyle w:val="10"/>
          <w:b/>
          <w:bCs/>
        </w:rPr>
        <w:t>第三章 失信信息与失信联合惩戒</w:t>
      </w:r>
    </w:p>
    <w:p>
      <w:pPr>
        <w:pStyle w:val="7"/>
        <w:keepNext w:val="0"/>
        <w:keepLines w:val="0"/>
        <w:widowControl/>
        <w:suppressLineNumbers w:val="0"/>
        <w:spacing w:line="450" w:lineRule="atLeast"/>
        <w:ind w:left="0" w:firstLine="420"/>
      </w:pPr>
      <w:r>
        <w:rPr>
          <w:rStyle w:val="10"/>
          <w:b/>
          <w:bCs/>
        </w:rPr>
        <w:t xml:space="preserve">    </w:t>
      </w:r>
      <w:r>
        <w:t>第九条　社会法人的失信信息，指行政和社会管理机构依据法律、法规、规章认定且对社会法人信用状况起负面作用的信用信息，包括但不限于以下行为的信息：</w:t>
      </w:r>
    </w:p>
    <w:p>
      <w:pPr>
        <w:pStyle w:val="7"/>
        <w:keepNext w:val="0"/>
        <w:keepLines w:val="0"/>
        <w:widowControl/>
        <w:suppressLineNumbers w:val="0"/>
        <w:spacing w:line="450" w:lineRule="atLeast"/>
        <w:ind w:left="0" w:firstLine="0"/>
      </w:pPr>
      <w:r>
        <w:t>（一）被处以行政处罚的；</w:t>
      </w:r>
    </w:p>
    <w:p>
      <w:pPr>
        <w:pStyle w:val="7"/>
        <w:keepNext w:val="0"/>
        <w:keepLines w:val="0"/>
        <w:widowControl/>
        <w:suppressLineNumbers w:val="0"/>
        <w:spacing w:line="450" w:lineRule="atLeast"/>
        <w:ind w:left="0" w:firstLine="0"/>
      </w:pPr>
      <w:r>
        <w:t>（二）被实施行政强制执行的；</w:t>
      </w:r>
    </w:p>
    <w:p>
      <w:pPr>
        <w:pStyle w:val="7"/>
        <w:keepNext w:val="0"/>
        <w:keepLines w:val="0"/>
        <w:widowControl/>
        <w:suppressLineNumbers w:val="0"/>
        <w:spacing w:line="450" w:lineRule="atLeast"/>
        <w:ind w:left="0" w:firstLine="0"/>
      </w:pPr>
      <w:r>
        <w:t>（三）被商务、工商、质监、食品药品监管、农业、安全监管等部门列入“黑名单”的；</w:t>
      </w:r>
    </w:p>
    <w:p>
      <w:pPr>
        <w:pStyle w:val="7"/>
        <w:keepNext w:val="0"/>
        <w:keepLines w:val="0"/>
        <w:widowControl/>
        <w:suppressLineNumbers w:val="0"/>
        <w:spacing w:line="450" w:lineRule="atLeast"/>
        <w:ind w:left="0" w:firstLine="0"/>
      </w:pPr>
      <w:r>
        <w:t>（四）被工商部门列入经营异常名录或严重违法企业名单的；</w:t>
      </w:r>
    </w:p>
    <w:p>
      <w:pPr>
        <w:pStyle w:val="7"/>
        <w:keepNext w:val="0"/>
        <w:keepLines w:val="0"/>
        <w:widowControl/>
        <w:suppressLineNumbers w:val="0"/>
        <w:spacing w:line="450" w:lineRule="atLeast"/>
        <w:ind w:left="0" w:firstLine="420"/>
      </w:pPr>
      <w:r>
        <w:t>（五）被环保部门列为环保警示和环保不良等级的；</w:t>
      </w:r>
    </w:p>
    <w:p>
      <w:pPr>
        <w:pStyle w:val="7"/>
        <w:keepNext w:val="0"/>
        <w:keepLines w:val="0"/>
        <w:widowControl/>
        <w:suppressLineNumbers w:val="0"/>
        <w:spacing w:line="450" w:lineRule="atLeast"/>
        <w:ind w:left="0" w:firstLine="420"/>
      </w:pPr>
      <w:r>
        <w:t>（六）法律、法规、规章规定的其他失信行为信息。</w:t>
      </w:r>
    </w:p>
    <w:p>
      <w:pPr>
        <w:pStyle w:val="7"/>
        <w:keepNext w:val="0"/>
        <w:keepLines w:val="0"/>
        <w:widowControl/>
        <w:suppressLineNumbers w:val="0"/>
        <w:spacing w:line="450" w:lineRule="atLeast"/>
        <w:ind w:left="0" w:firstLine="420"/>
      </w:pPr>
      <w:r>
        <w:t>第十条　各行政和社会管理机构依据法律、法规、规章，结合本部门职能和工作实际，制定失信信息的认定标准、程序等。失信信息应推送至</w:t>
      </w:r>
      <w:r>
        <w:rPr>
          <w:rFonts w:hint="eastAsia"/>
          <w:lang w:eastAsia="zh-CN"/>
        </w:rPr>
        <w:t>唐河</w:t>
      </w:r>
      <w:r>
        <w:t>县公共信用信息共享服务平台。</w:t>
      </w:r>
    </w:p>
    <w:p>
      <w:pPr>
        <w:pStyle w:val="7"/>
        <w:keepNext w:val="0"/>
        <w:keepLines w:val="0"/>
        <w:widowControl/>
        <w:suppressLineNumbers w:val="0"/>
        <w:spacing w:line="450" w:lineRule="atLeast"/>
        <w:ind w:left="0" w:firstLine="420"/>
      </w:pPr>
      <w:r>
        <w:t>第十一条　对具有失信行为信息（有效期内）的社会法人，各行政和社会管理机构可根据具体情形依法采取以下惩戒措施：</w:t>
      </w:r>
    </w:p>
    <w:p>
      <w:pPr>
        <w:pStyle w:val="7"/>
        <w:keepNext w:val="0"/>
        <w:keepLines w:val="0"/>
        <w:widowControl/>
        <w:suppressLineNumbers w:val="0"/>
        <w:spacing w:line="450" w:lineRule="atLeast"/>
        <w:ind w:left="0" w:firstLine="420"/>
      </w:pPr>
      <w:r>
        <w:t>（一）向全社会或在特定范围内公开公示失信行为信息；</w:t>
      </w:r>
    </w:p>
    <w:p>
      <w:pPr>
        <w:pStyle w:val="7"/>
        <w:keepNext w:val="0"/>
        <w:keepLines w:val="0"/>
        <w:widowControl/>
        <w:suppressLineNumbers w:val="0"/>
        <w:spacing w:line="450" w:lineRule="atLeast"/>
        <w:ind w:left="0" w:firstLine="420"/>
      </w:pPr>
      <w:r>
        <w:t>（二）从严审核行政许可审批项目；</w:t>
      </w:r>
    </w:p>
    <w:p>
      <w:pPr>
        <w:pStyle w:val="7"/>
        <w:keepNext w:val="0"/>
        <w:keepLines w:val="0"/>
        <w:widowControl/>
        <w:suppressLineNumbers w:val="0"/>
        <w:spacing w:line="450" w:lineRule="atLeast"/>
        <w:ind w:left="0" w:firstLine="420"/>
      </w:pPr>
      <w:r>
        <w:t>（三）限制新增项目审批、核准；</w:t>
      </w:r>
    </w:p>
    <w:p>
      <w:pPr>
        <w:pStyle w:val="7"/>
        <w:keepNext w:val="0"/>
        <w:keepLines w:val="0"/>
        <w:widowControl/>
        <w:suppressLineNumbers w:val="0"/>
        <w:spacing w:line="450" w:lineRule="atLeast"/>
        <w:ind w:left="0" w:firstLine="420"/>
      </w:pPr>
      <w:r>
        <w:t>（四）限制申请财政性资金项目；</w:t>
      </w:r>
    </w:p>
    <w:p>
      <w:pPr>
        <w:pStyle w:val="7"/>
        <w:keepNext w:val="0"/>
        <w:keepLines w:val="0"/>
        <w:widowControl/>
        <w:suppressLineNumbers w:val="0"/>
        <w:spacing w:line="450" w:lineRule="atLeast"/>
        <w:ind w:left="0" w:firstLine="420"/>
      </w:pPr>
      <w:r>
        <w:t>（五）限制参与政府采购、工程招标投标、国有土地出让等公共资源交易活动；</w:t>
      </w:r>
    </w:p>
    <w:p>
      <w:pPr>
        <w:pStyle w:val="7"/>
        <w:keepNext w:val="0"/>
        <w:keepLines w:val="0"/>
        <w:widowControl/>
        <w:suppressLineNumbers w:val="0"/>
        <w:spacing w:line="450" w:lineRule="atLeast"/>
        <w:ind w:left="0" w:firstLine="420"/>
      </w:pPr>
      <w:r>
        <w:t>（六）限制股票发行上市融资；</w:t>
      </w:r>
    </w:p>
    <w:p>
      <w:pPr>
        <w:pStyle w:val="7"/>
        <w:keepNext w:val="0"/>
        <w:keepLines w:val="0"/>
        <w:widowControl/>
        <w:suppressLineNumbers w:val="0"/>
        <w:spacing w:line="450" w:lineRule="atLeast"/>
        <w:ind w:left="0" w:firstLine="420"/>
      </w:pPr>
      <w:r>
        <w:t>（七）限制发起设立或参股金融机构以及小额贷款公司、融资担保公司、创业投资公司、互联网融资平台等机构；</w:t>
      </w:r>
    </w:p>
    <w:p>
      <w:pPr>
        <w:pStyle w:val="7"/>
        <w:keepNext w:val="0"/>
        <w:keepLines w:val="0"/>
        <w:widowControl/>
        <w:suppressLineNumbers w:val="0"/>
        <w:spacing w:line="450" w:lineRule="atLeast"/>
        <w:ind w:left="0" w:firstLine="420"/>
      </w:pPr>
      <w:r>
        <w:t>（八）限制参与基础设施和公用事业特许经营；</w:t>
      </w:r>
    </w:p>
    <w:p>
      <w:pPr>
        <w:pStyle w:val="7"/>
        <w:keepNext w:val="0"/>
        <w:keepLines w:val="0"/>
        <w:widowControl/>
        <w:suppressLineNumbers w:val="0"/>
        <w:spacing w:line="450" w:lineRule="atLeast"/>
        <w:ind w:left="0" w:firstLine="420"/>
      </w:pPr>
      <w:r>
        <w:t>（九）对严重失信企业及其法定代表人、主要负责人和对失信行为负有直接责任的注册执业人员等实施市场和行业禁入措施；</w:t>
      </w:r>
    </w:p>
    <w:p>
      <w:pPr>
        <w:pStyle w:val="7"/>
        <w:keepNext w:val="0"/>
        <w:keepLines w:val="0"/>
        <w:widowControl/>
        <w:suppressLineNumbers w:val="0"/>
        <w:spacing w:line="450" w:lineRule="atLeast"/>
        <w:ind w:left="0" w:firstLine="420"/>
      </w:pPr>
      <w:r>
        <w:t>（十）法律、法规、规章规定的其他惩戒措施。</w:t>
      </w:r>
    </w:p>
    <w:p>
      <w:pPr>
        <w:pStyle w:val="7"/>
        <w:keepNext w:val="0"/>
        <w:keepLines w:val="0"/>
        <w:widowControl/>
        <w:suppressLineNumbers w:val="0"/>
        <w:spacing w:line="450" w:lineRule="atLeast"/>
        <w:ind w:left="0" w:firstLine="420"/>
      </w:pPr>
      <w:r>
        <w:t>第十二条　各行政和社会管理机构根据法律、法规、规章，制定本单位及所涉及行业领域具体失信惩戒制度。以环境和资源保护、安全生产、食品药品安全、财政性资金项目安排、招标投标、社会保障、税收管理等重点领域为突破口，逐步建立健全社会法人失信行为联合惩戒体系。</w:t>
      </w:r>
    </w:p>
    <w:p>
      <w:pPr>
        <w:pStyle w:val="7"/>
        <w:keepNext w:val="0"/>
        <w:keepLines w:val="0"/>
        <w:widowControl/>
        <w:suppressLineNumbers w:val="0"/>
        <w:spacing w:line="450" w:lineRule="atLeast"/>
        <w:ind w:left="0" w:firstLine="420"/>
      </w:pPr>
      <w:r>
        <w:t>第十三条  支持市场主体根据各行政和社会管理机构发布的失信信息，提高失信法人的交易成本。</w:t>
      </w:r>
    </w:p>
    <w:p>
      <w:pPr>
        <w:pStyle w:val="7"/>
        <w:keepNext w:val="0"/>
        <w:keepLines w:val="0"/>
        <w:widowControl/>
        <w:suppressLineNumbers w:val="0"/>
        <w:spacing w:line="450" w:lineRule="atLeast"/>
        <w:ind w:left="0" w:firstLine="420"/>
        <w:jc w:val="center"/>
      </w:pPr>
      <w:r>
        <w:rPr>
          <w:rStyle w:val="10"/>
          <w:b/>
          <w:bCs/>
        </w:rPr>
        <w:t>第四章  信用修复与管理</w:t>
      </w:r>
    </w:p>
    <w:p>
      <w:pPr>
        <w:pStyle w:val="7"/>
        <w:keepNext w:val="0"/>
        <w:keepLines w:val="0"/>
        <w:widowControl/>
        <w:suppressLineNumbers w:val="0"/>
        <w:spacing w:line="450" w:lineRule="atLeast"/>
        <w:ind w:left="0" w:firstLine="420"/>
      </w:pPr>
      <w:r>
        <w:t>第十四条　社会法人发生失信行为，在一定期限内主动纠正的，可以按照失信行为认定机构确定的条件和程序实施信用修复。</w:t>
      </w:r>
    </w:p>
    <w:p>
      <w:pPr>
        <w:pStyle w:val="7"/>
        <w:keepNext w:val="0"/>
        <w:keepLines w:val="0"/>
        <w:widowControl/>
        <w:suppressLineNumbers w:val="0"/>
        <w:spacing w:line="450" w:lineRule="atLeast"/>
        <w:ind w:left="0" w:firstLine="420"/>
      </w:pPr>
      <w:r>
        <w:t>第十五条　信用修复由失信的社会法人向认定机构提出书面申请，并作出守信承诺。</w:t>
      </w:r>
    </w:p>
    <w:p>
      <w:pPr>
        <w:pStyle w:val="7"/>
        <w:keepNext w:val="0"/>
        <w:keepLines w:val="0"/>
        <w:widowControl/>
        <w:suppressLineNumbers w:val="0"/>
        <w:spacing w:line="450" w:lineRule="atLeast"/>
        <w:ind w:left="0" w:firstLine="420"/>
      </w:pPr>
      <w:r>
        <w:t>第十六条　认定机构对信用修复申请进行审核，于收到申请之日起20个工作日内，决定是否准予信用修复。</w:t>
      </w:r>
    </w:p>
    <w:p>
      <w:pPr>
        <w:pStyle w:val="7"/>
        <w:keepNext w:val="0"/>
        <w:keepLines w:val="0"/>
        <w:widowControl/>
        <w:suppressLineNumbers w:val="0"/>
        <w:spacing w:line="450" w:lineRule="atLeast"/>
        <w:ind w:left="0" w:firstLine="420"/>
      </w:pPr>
      <w:r>
        <w:t>对允许信用修复的，认定机构及时对</w:t>
      </w:r>
      <w:r>
        <w:rPr>
          <w:rFonts w:hint="eastAsia"/>
          <w:lang w:val="en-US" w:eastAsia="zh-CN"/>
        </w:rPr>
        <w:t>唐河</w:t>
      </w:r>
      <w:r>
        <w:t>县公共信用信息共享服务平台相关信用信息进行修改。</w:t>
      </w:r>
    </w:p>
    <w:p>
      <w:pPr>
        <w:pStyle w:val="7"/>
        <w:keepNext w:val="0"/>
        <w:keepLines w:val="0"/>
        <w:widowControl/>
        <w:suppressLineNumbers w:val="0"/>
        <w:spacing w:line="450" w:lineRule="atLeast"/>
        <w:ind w:left="0" w:firstLine="420"/>
      </w:pPr>
      <w:r>
        <w:t>信用修复处理期间，认定机构对</w:t>
      </w:r>
      <w:r>
        <w:rPr>
          <w:rFonts w:hint="eastAsia"/>
          <w:lang w:eastAsia="zh-CN"/>
        </w:rPr>
        <w:t>唐河</w:t>
      </w:r>
      <w:r>
        <w:t>县公共信用信息共享服务平台相关信息应予以标注，待信用修复处理完成后取消标注。</w:t>
      </w:r>
    </w:p>
    <w:p>
      <w:pPr>
        <w:pStyle w:val="7"/>
        <w:keepNext w:val="0"/>
        <w:keepLines w:val="0"/>
        <w:widowControl/>
        <w:suppressLineNumbers w:val="0"/>
        <w:spacing w:line="450" w:lineRule="atLeast"/>
        <w:ind w:left="0" w:firstLine="420"/>
      </w:pPr>
      <w:r>
        <w:t>第十七条　各行政和社会管理机构根据法律、法规、规章，制定本部门及所涉及行业的信用修复条件和程序。</w:t>
      </w:r>
    </w:p>
    <w:p>
      <w:pPr>
        <w:pStyle w:val="7"/>
        <w:keepNext w:val="0"/>
        <w:keepLines w:val="0"/>
        <w:widowControl/>
        <w:suppressLineNumbers w:val="0"/>
        <w:spacing w:line="450" w:lineRule="atLeast"/>
        <w:ind w:left="0" w:firstLine="420"/>
        <w:jc w:val="center"/>
      </w:pPr>
      <w:r>
        <w:rPr>
          <w:rStyle w:val="10"/>
          <w:b/>
          <w:bCs/>
        </w:rPr>
        <w:t>第五章  监督和管理</w:t>
      </w:r>
    </w:p>
    <w:p>
      <w:pPr>
        <w:pStyle w:val="7"/>
        <w:keepNext w:val="0"/>
        <w:keepLines w:val="0"/>
        <w:widowControl/>
        <w:suppressLineNumbers w:val="0"/>
        <w:spacing w:line="450" w:lineRule="atLeast"/>
        <w:ind w:left="0" w:firstLine="420"/>
      </w:pPr>
      <w:r>
        <w:t>第十八条　行政和社会管理机构守信联合激励与失信联合惩戒制度制定及应用实施等情况，接受社会公众监督。</w:t>
      </w:r>
    </w:p>
    <w:p>
      <w:pPr>
        <w:pStyle w:val="7"/>
        <w:keepNext w:val="0"/>
        <w:keepLines w:val="0"/>
        <w:widowControl/>
        <w:suppressLineNumbers w:val="0"/>
        <w:spacing w:line="450" w:lineRule="atLeast"/>
        <w:ind w:left="0" w:firstLine="420"/>
      </w:pPr>
      <w:r>
        <w:t>第十九条　行政和社会管理机构的守信联合激励与失信联合惩戒工作纳入社会信用体系建设工作考核。</w:t>
      </w:r>
    </w:p>
    <w:p>
      <w:pPr>
        <w:pStyle w:val="6"/>
        <w:ind w:firstLine="5372" w:firstLineChars="1700"/>
        <w:rPr>
          <w:rFonts w:hint="default" w:ascii="仿宋" w:hAnsi="仿宋" w:eastAsia="仿宋" w:cs="Times New Roman"/>
          <w:kern w:val="2"/>
          <w:sz w:val="32"/>
          <w:szCs w:val="32"/>
          <w:lang w:val="en-US" w:eastAsia="zh-CN" w:bidi="ar-SA"/>
        </w:rPr>
      </w:pPr>
    </w:p>
    <w:sectPr>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4ABD40"/>
    <w:multiLevelType w:val="singleLevel"/>
    <w:tmpl w:val="974ABD40"/>
    <w:lvl w:ilvl="0" w:tentative="0">
      <w:start w:val="1"/>
      <w:numFmt w:val="chineseCountingThousand"/>
      <w:pStyle w:val="14"/>
      <w:suff w:val="nothing"/>
      <w:lvlText w:val="%1、"/>
      <w:lvlJc w:val="left"/>
      <w:pPr>
        <w:tabs>
          <w:tab w:val="left" w:pos="420"/>
        </w:tabs>
        <w:ind w:left="0" w:leftChars="0" w:firstLine="0" w:firstLineChars="0"/>
      </w:pPr>
      <w:rPr>
        <w:rFonts w:hint="eastAsia"/>
      </w:rPr>
    </w:lvl>
  </w:abstractNum>
  <w:abstractNum w:abstractNumId="1">
    <w:nsid w:val="BF580DF5"/>
    <w:multiLevelType w:val="singleLevel"/>
    <w:tmpl w:val="BF580DF5"/>
    <w:lvl w:ilvl="0" w:tentative="0">
      <w:start w:val="1"/>
      <w:numFmt w:val="chineseCountingThousand"/>
      <w:pStyle w:val="13"/>
      <w:suff w:val="nothing"/>
      <w:lvlText w:val="（%1）"/>
      <w:lvlJc w:val="left"/>
      <w:pPr>
        <w:tabs>
          <w:tab w:val="left" w:pos="420"/>
        </w:tabs>
        <w:ind w:left="0" w:leftChars="0" w:firstLine="0" w:firstLineChars="0"/>
      </w:pPr>
      <w:rPr>
        <w:rFonts w:hint="eastAsia"/>
      </w:rPr>
    </w:lvl>
  </w:abstractNum>
  <w:abstractNum w:abstractNumId="2">
    <w:nsid w:val="2579E46C"/>
    <w:multiLevelType w:val="singleLevel"/>
    <w:tmpl w:val="2579E46C"/>
    <w:lvl w:ilvl="0" w:tentative="0">
      <w:start w:val="1"/>
      <w:numFmt w:val="decimal"/>
      <w:pStyle w:val="11"/>
      <w:suff w:val="nothing"/>
      <w:lvlText w:val="（%1）"/>
      <w:lvlJc w:val="left"/>
      <w:pPr>
        <w:tabs>
          <w:tab w:val="left" w:pos="420"/>
        </w:tabs>
        <w:ind w:left="0" w:leftChars="0" w:firstLine="0" w:firstLineChars="0"/>
      </w:pPr>
    </w:lvl>
  </w:abstractNum>
  <w:abstractNum w:abstractNumId="3">
    <w:nsid w:val="63510B41"/>
    <w:multiLevelType w:val="singleLevel"/>
    <w:tmpl w:val="63510B41"/>
    <w:lvl w:ilvl="0" w:tentative="0">
      <w:start w:val="1"/>
      <w:numFmt w:val="decimal"/>
      <w:pStyle w:val="12"/>
      <w:suff w:val="nothing"/>
      <w:lvlText w:val="%1．"/>
      <w:lvlJc w:val="left"/>
      <w:pPr>
        <w:tabs>
          <w:tab w:val="left" w:pos="420"/>
        </w:tabs>
        <w:ind w:left="0" w:leftChars="0" w:firstLine="0" w:firstLineChars="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Mzk5ZDVhNjcxMDhmOTkxYzg5MDg4ODdlNjE3NzQifQ=="/>
  </w:docVars>
  <w:rsids>
    <w:rsidRoot w:val="00000000"/>
    <w:rsid w:val="160F0CA8"/>
    <w:rsid w:val="1E8A2D05"/>
    <w:rsid w:val="28D112C7"/>
    <w:rsid w:val="29A47DE4"/>
    <w:rsid w:val="2F723DC9"/>
    <w:rsid w:val="4DA346A9"/>
    <w:rsid w:val="591F2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tabs>
        <w:tab w:val="left" w:pos="992"/>
      </w:tabs>
      <w:ind w:firstLine="420" w:firstLineChars="200"/>
      <w:jc w:val="both"/>
    </w:pPr>
    <w:rPr>
      <w:rFonts w:ascii="Times New Roman" w:hAnsi="Times New Roman" w:eastAsia="宋体" w:cs="Times New Roman"/>
      <w:kern w:val="2"/>
      <w:sz w:val="32"/>
      <w:szCs w:val="22"/>
      <w:lang w:val="en-US" w:eastAsia="zh-CN" w:bidi="ar-SA"/>
    </w:rPr>
  </w:style>
  <w:style w:type="paragraph" w:styleId="3">
    <w:name w:val="Body Text Indent"/>
    <w:basedOn w:val="1"/>
    <w:qFormat/>
    <w:uiPriority w:val="0"/>
    <w:pPr>
      <w:widowControl w:val="0"/>
      <w:ind w:firstLine="640" w:firstLineChars="200"/>
      <w:jc w:val="both"/>
    </w:pPr>
    <w:rPr>
      <w:rFonts w:ascii="仿宋_GB2312" w:hAnsi="Calibri" w:eastAsia="仿宋_GB2312" w:cs="Times New Roman"/>
      <w:kern w:val="2"/>
      <w:sz w:val="32"/>
      <w:szCs w:val="22"/>
      <w:lang w:val="en-US" w:eastAsia="zh-CN" w:bidi="ar-SA"/>
    </w:rPr>
  </w:style>
  <w:style w:type="paragraph" w:styleId="6">
    <w:name w:val="Normal Indent"/>
    <w:basedOn w:val="1"/>
    <w:unhideWhenUsed/>
    <w:qFormat/>
    <w:uiPriority w:val="99"/>
    <w:pPr>
      <w:ind w:firstLine="420" w:firstLine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公文:4级标题"/>
    <w:qFormat/>
    <w:uiPriority w:val="0"/>
    <w:pPr>
      <w:numPr>
        <w:ilvl w:val="0"/>
        <w:numId w:val="1"/>
      </w:numPr>
      <w:outlineLvl w:val="3"/>
    </w:pPr>
    <w:rPr>
      <w:rFonts w:ascii="Times New Roman" w:hAnsi="Times New Roman" w:eastAsia="仿宋" w:cs="Times New Roman"/>
      <w:sz w:val="32"/>
    </w:rPr>
  </w:style>
  <w:style w:type="paragraph" w:customStyle="1" w:styleId="12">
    <w:name w:val="公文:3级标题"/>
    <w:qFormat/>
    <w:uiPriority w:val="0"/>
    <w:pPr>
      <w:numPr>
        <w:ilvl w:val="0"/>
        <w:numId w:val="2"/>
      </w:numPr>
      <w:outlineLvl w:val="2"/>
    </w:pPr>
    <w:rPr>
      <w:rFonts w:ascii="Times New Roman" w:hAnsi="Times New Roman" w:eastAsia="仿宋" w:cs="Times New Roman"/>
      <w:sz w:val="32"/>
    </w:rPr>
  </w:style>
  <w:style w:type="paragraph" w:customStyle="1" w:styleId="13">
    <w:name w:val="公文:2级标题"/>
    <w:qFormat/>
    <w:uiPriority w:val="0"/>
    <w:pPr>
      <w:numPr>
        <w:ilvl w:val="0"/>
        <w:numId w:val="3"/>
      </w:numPr>
      <w:outlineLvl w:val="1"/>
    </w:pPr>
    <w:rPr>
      <w:rFonts w:ascii="Times New Roman" w:hAnsi="Times New Roman" w:eastAsia="楷体" w:cs="Times New Roman"/>
      <w:sz w:val="32"/>
    </w:rPr>
  </w:style>
  <w:style w:type="paragraph" w:customStyle="1" w:styleId="14">
    <w:name w:val="公文:1级标题"/>
    <w:qFormat/>
    <w:uiPriority w:val="0"/>
    <w:pPr>
      <w:numPr>
        <w:ilvl w:val="0"/>
        <w:numId w:val="4"/>
      </w:numPr>
      <w:outlineLvl w:val="0"/>
    </w:pPr>
    <w:rPr>
      <w:rFonts w:ascii="Times New Roman" w:hAnsi="Times New Roman" w:eastAsia="黑体" w:cs="Times New Roman"/>
      <w:sz w:val="32"/>
    </w:rPr>
  </w:style>
  <w:style w:type="paragraph" w:customStyle="1" w:styleId="15">
    <w:name w:val="公文:正文"/>
    <w:basedOn w:val="1"/>
    <w:qFormat/>
    <w:uiPriority w:val="0"/>
    <w:rPr>
      <w:rFonts w:eastAsia="仿宋"/>
      <w:sz w:val="32"/>
    </w:rPr>
  </w:style>
  <w:style w:type="paragraph" w:customStyle="1" w:styleId="16">
    <w:name w:val="公文:正文(缩进)"/>
    <w:basedOn w:val="1"/>
    <w:qFormat/>
    <w:uiPriority w:val="0"/>
    <w:pPr>
      <w:ind w:firstLine="1892" w:firstLineChars="200"/>
    </w:pPr>
    <w:rPr>
      <w:rFonts w:eastAsia="仿宋"/>
      <w:sz w:val="32"/>
    </w:rPr>
  </w:style>
  <w:style w:type="paragraph" w:customStyle="1" w:styleId="17">
    <w:name w:val="公文:标题"/>
    <w:basedOn w:val="1"/>
    <w:qFormat/>
    <w:uiPriority w:val="0"/>
    <w:pPr>
      <w:jc w:val="center"/>
    </w:pPr>
    <w:rPr>
      <w:rFonts w:eastAsia="Microsoft Sans Serif"/>
      <w:sz w:val="44"/>
    </w:rPr>
  </w:style>
  <w:style w:type="paragraph" w:customStyle="1" w:styleId="18">
    <w:name w:val="其他"/>
    <w:basedOn w:val="1"/>
    <w:qFormat/>
    <w:uiPriority w:val="0"/>
    <w:pPr>
      <w:widowControl w:val="0"/>
      <w:shd w:val="clear" w:color="auto" w:fill="auto"/>
      <w:spacing w:line="437" w:lineRule="auto"/>
      <w:ind w:firstLine="400"/>
    </w:pPr>
    <w:rPr>
      <w:rFonts w:ascii="宋体" w:hAnsi="宋体" w:eastAsia="宋体" w:cs="宋体"/>
      <w:sz w:val="22"/>
      <w:szCs w:val="22"/>
      <w:u w:val="none"/>
      <w:lang w:val="zh-CN" w:eastAsia="zh-CN" w:bidi="zh-CN"/>
    </w:rPr>
  </w:style>
  <w:style w:type="paragraph" w:customStyle="1" w:styleId="19">
    <w:name w:val="正文文本1"/>
    <w:basedOn w:val="1"/>
    <w:qFormat/>
    <w:uiPriority w:val="0"/>
    <w:pPr>
      <w:widowControl w:val="0"/>
      <w:shd w:val="clear" w:color="auto" w:fill="auto"/>
      <w:spacing w:line="437" w:lineRule="auto"/>
      <w:ind w:firstLine="400"/>
    </w:pPr>
    <w:rPr>
      <w:rFonts w:ascii="宋体" w:hAnsi="宋体" w:eastAsia="宋体" w:cs="宋体"/>
      <w:sz w:val="22"/>
      <w:szCs w:val="22"/>
      <w:u w:val="none"/>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110</Characters>
  <Lines>0</Lines>
  <Paragraphs>0</Paragraphs>
  <TotalTime>996</TotalTime>
  <ScaleCrop>false</ScaleCrop>
  <LinksUpToDate>false</LinksUpToDate>
  <CharactersWithSpaces>111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2022-03-08T02:33:00Z</dcterms:created>
  <dc:creator>Administrator</dc:creator>
  <cp:lastModifiedBy>晴栀菀歌</cp:lastModifiedBy>
  <cp:lastPrinted>2023-01-05T08:45:00Z</cp:lastPrinted>
  <dcterms:modified xsi:type="dcterms:W3CDTF">2023-09-20T01:21:04Z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09DF5A9A4E294BBEB17D68720966C571</vt:lpwstr>
  </property>
</Properties>
</file>