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59" w:rsidRDefault="00D76459" w:rsidP="00D76459">
      <w:pPr>
        <w:spacing w:line="480" w:lineRule="auto"/>
        <w:rPr>
          <w:rFonts w:ascii="仿宋" w:eastAsia="仿宋" w:hAnsi="仿宋" w:cs="仿宋" w:hint="eastAsia"/>
          <w:sz w:val="32"/>
          <w:szCs w:val="32"/>
        </w:rPr>
      </w:pPr>
      <w:r>
        <w:rPr>
          <w:rFonts w:ascii="仿宋" w:eastAsia="仿宋" w:hAnsi="仿宋" w:cs="仿宋" w:hint="eastAsia"/>
          <w:sz w:val="32"/>
          <w:szCs w:val="32"/>
        </w:rPr>
        <w:t>附件：</w:t>
      </w:r>
    </w:p>
    <w:p w:rsidR="00D76459" w:rsidRDefault="00D76459" w:rsidP="00D76459">
      <w:pPr>
        <w:spacing w:line="480" w:lineRule="auto"/>
        <w:jc w:val="center"/>
        <w:rPr>
          <w:rFonts w:ascii="黑体" w:eastAsia="黑体" w:hAnsi="黑体" w:cs="黑体"/>
          <w:sz w:val="44"/>
          <w:szCs w:val="44"/>
        </w:rPr>
      </w:pPr>
      <w:r>
        <w:rPr>
          <w:rFonts w:ascii="黑体" w:eastAsia="黑体" w:hAnsi="黑体" w:cs="黑体" w:hint="eastAsia"/>
          <w:sz w:val="44"/>
          <w:szCs w:val="44"/>
        </w:rPr>
        <w:t>唐河县文广旅局2023年“双随机一公开”抽查工作计划表</w:t>
      </w:r>
    </w:p>
    <w:tbl>
      <w:tblPr>
        <w:tblStyle w:val="a8"/>
        <w:tblW w:w="0" w:type="auto"/>
        <w:tblInd w:w="-228" w:type="dxa"/>
        <w:tblLook w:val="0000"/>
      </w:tblPr>
      <w:tblGrid>
        <w:gridCol w:w="661"/>
        <w:gridCol w:w="1645"/>
        <w:gridCol w:w="1295"/>
        <w:gridCol w:w="2914"/>
        <w:gridCol w:w="690"/>
        <w:gridCol w:w="668"/>
        <w:gridCol w:w="1779"/>
        <w:gridCol w:w="1270"/>
        <w:gridCol w:w="682"/>
        <w:gridCol w:w="715"/>
        <w:gridCol w:w="1285"/>
        <w:gridCol w:w="798"/>
      </w:tblGrid>
      <w:tr w:rsidR="00D76459" w:rsidTr="00802F67">
        <w:tc>
          <w:tcPr>
            <w:tcW w:w="668"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rPr>
              <w:t>抽查计划编号</w:t>
            </w:r>
          </w:p>
        </w:tc>
        <w:tc>
          <w:tcPr>
            <w:tcW w:w="1677"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rPr>
              <w:t>抽查计划名称</w:t>
            </w:r>
          </w:p>
        </w:tc>
        <w:tc>
          <w:tcPr>
            <w:tcW w:w="1323"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rPr>
              <w:t>抽查类别</w:t>
            </w:r>
          </w:p>
        </w:tc>
        <w:tc>
          <w:tcPr>
            <w:tcW w:w="2973"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rPr>
              <w:t>抽查事项</w:t>
            </w:r>
          </w:p>
        </w:tc>
        <w:tc>
          <w:tcPr>
            <w:tcW w:w="698"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rPr>
              <w:t>事项 类别</w:t>
            </w:r>
          </w:p>
        </w:tc>
        <w:tc>
          <w:tcPr>
            <w:tcW w:w="675"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rPr>
              <w:t>抽查  方式</w:t>
            </w:r>
          </w:p>
        </w:tc>
        <w:tc>
          <w:tcPr>
            <w:tcW w:w="1815" w:type="dxa"/>
            <w:vAlign w:val="center"/>
          </w:tcPr>
          <w:p w:rsidR="00D76459" w:rsidRDefault="00D76459" w:rsidP="00802F67">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sz w:val="22"/>
                <w:szCs w:val="22"/>
              </w:rPr>
              <w:t>检查对象</w:t>
            </w:r>
          </w:p>
        </w:tc>
        <w:tc>
          <w:tcPr>
            <w:tcW w:w="1290" w:type="dxa"/>
            <w:vAlign w:val="center"/>
          </w:tcPr>
          <w:p w:rsidR="00D76459" w:rsidRDefault="00D76459" w:rsidP="00802F67">
            <w:pPr>
              <w:widowControl/>
              <w:jc w:val="center"/>
              <w:textAlignment w:val="center"/>
              <w:rPr>
                <w:rFonts w:ascii="仿宋" w:eastAsia="仿宋" w:hAnsi="仿宋" w:cs="仿宋" w:hint="eastAsia"/>
                <w:b/>
                <w:bCs/>
                <w:color w:val="000000"/>
                <w:kern w:val="0"/>
                <w:sz w:val="22"/>
                <w:szCs w:val="22"/>
              </w:rPr>
            </w:pPr>
            <w:r>
              <w:rPr>
                <w:rFonts w:ascii="仿宋" w:eastAsia="仿宋" w:hAnsi="仿宋" w:cs="仿宋" w:hint="eastAsia"/>
                <w:b/>
                <w:bCs/>
                <w:color w:val="000000"/>
                <w:kern w:val="0"/>
                <w:sz w:val="22"/>
                <w:szCs w:val="22"/>
              </w:rPr>
              <w:t>检查日期</w:t>
            </w:r>
          </w:p>
        </w:tc>
        <w:tc>
          <w:tcPr>
            <w:tcW w:w="690" w:type="dxa"/>
            <w:vAlign w:val="center"/>
          </w:tcPr>
          <w:p w:rsidR="00D76459" w:rsidRDefault="00D76459" w:rsidP="00802F67">
            <w:pPr>
              <w:widowControl/>
              <w:jc w:val="center"/>
              <w:textAlignment w:val="center"/>
              <w:rPr>
                <w:rFonts w:ascii="仿宋" w:eastAsia="仿宋" w:hAnsi="仿宋" w:cs="仿宋" w:hint="eastAsia"/>
                <w:b/>
                <w:bCs/>
                <w:color w:val="000000"/>
                <w:kern w:val="0"/>
                <w:sz w:val="22"/>
                <w:szCs w:val="22"/>
              </w:rPr>
            </w:pPr>
            <w:r>
              <w:rPr>
                <w:rFonts w:ascii="仿宋" w:eastAsia="仿宋" w:hAnsi="仿宋" w:cs="仿宋" w:hint="eastAsia"/>
                <w:b/>
                <w:bCs/>
                <w:color w:val="000000"/>
                <w:kern w:val="0"/>
                <w:sz w:val="22"/>
                <w:szCs w:val="22"/>
              </w:rPr>
              <w:t>检查方式</w:t>
            </w:r>
          </w:p>
        </w:tc>
        <w:tc>
          <w:tcPr>
            <w:tcW w:w="720" w:type="dxa"/>
            <w:vAlign w:val="center"/>
          </w:tcPr>
          <w:p w:rsidR="00D76459" w:rsidRDefault="00D76459" w:rsidP="00802F67">
            <w:pPr>
              <w:widowControl/>
              <w:jc w:val="center"/>
              <w:textAlignment w:val="center"/>
              <w:rPr>
                <w:rFonts w:ascii="仿宋" w:eastAsia="仿宋" w:hAnsi="仿宋" w:cs="仿宋" w:hint="eastAsia"/>
                <w:b/>
                <w:bCs/>
                <w:color w:val="000000"/>
                <w:kern w:val="0"/>
                <w:sz w:val="22"/>
                <w:szCs w:val="22"/>
              </w:rPr>
            </w:pPr>
            <w:r>
              <w:rPr>
                <w:rFonts w:ascii="仿宋" w:eastAsia="仿宋" w:hAnsi="仿宋" w:cs="仿宋" w:hint="eastAsia"/>
                <w:b/>
                <w:bCs/>
                <w:color w:val="000000"/>
                <w:kern w:val="0"/>
                <w:sz w:val="22"/>
                <w:szCs w:val="22"/>
              </w:rPr>
              <w:t>抽查比例</w:t>
            </w:r>
          </w:p>
        </w:tc>
        <w:tc>
          <w:tcPr>
            <w:tcW w:w="1305" w:type="dxa"/>
            <w:vAlign w:val="center"/>
          </w:tcPr>
          <w:p w:rsidR="00D76459" w:rsidRDefault="00D76459" w:rsidP="00802F67">
            <w:pPr>
              <w:widowControl/>
              <w:jc w:val="center"/>
              <w:textAlignment w:val="center"/>
              <w:rPr>
                <w:rFonts w:ascii="仿宋" w:eastAsia="仿宋" w:hAnsi="仿宋" w:cs="仿宋" w:hint="eastAsia"/>
                <w:b/>
                <w:bCs/>
                <w:color w:val="000000"/>
                <w:kern w:val="0"/>
                <w:sz w:val="22"/>
                <w:szCs w:val="22"/>
              </w:rPr>
            </w:pPr>
            <w:r>
              <w:rPr>
                <w:rFonts w:ascii="仿宋" w:eastAsia="仿宋" w:hAnsi="仿宋" w:cs="仿宋" w:hint="eastAsia"/>
                <w:b/>
                <w:bCs/>
                <w:color w:val="000000"/>
                <w:kern w:val="0"/>
                <w:sz w:val="22"/>
                <w:szCs w:val="22"/>
              </w:rPr>
              <w:t>抽查时间</w:t>
            </w:r>
          </w:p>
        </w:tc>
        <w:tc>
          <w:tcPr>
            <w:tcW w:w="810" w:type="dxa"/>
            <w:vAlign w:val="center"/>
          </w:tcPr>
          <w:p w:rsidR="00D76459" w:rsidRDefault="00D76459" w:rsidP="00802F67">
            <w:pPr>
              <w:widowControl/>
              <w:jc w:val="center"/>
              <w:textAlignment w:val="center"/>
              <w:rPr>
                <w:rFonts w:ascii="仿宋" w:eastAsia="仿宋" w:hAnsi="仿宋" w:cs="仿宋" w:hint="eastAsia"/>
                <w:b/>
                <w:bCs/>
                <w:color w:val="000000"/>
                <w:kern w:val="0"/>
                <w:sz w:val="22"/>
                <w:szCs w:val="22"/>
              </w:rPr>
            </w:pPr>
            <w:r>
              <w:rPr>
                <w:rFonts w:ascii="仿宋" w:eastAsia="仿宋" w:hAnsi="仿宋" w:cs="仿宋" w:hint="eastAsia"/>
                <w:b/>
                <w:bCs/>
                <w:color w:val="000000"/>
                <w:kern w:val="0"/>
                <w:sz w:val="22"/>
                <w:szCs w:val="22"/>
              </w:rPr>
              <w:t>检查单位</w:t>
            </w:r>
          </w:p>
        </w:tc>
      </w:tr>
      <w:tr w:rsidR="00D76459" w:rsidTr="00802F67">
        <w:trPr>
          <w:trHeight w:val="1715"/>
        </w:trPr>
        <w:tc>
          <w:tcPr>
            <w:tcW w:w="668" w:type="dxa"/>
            <w:vMerge w:val="restart"/>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01</w:t>
            </w:r>
          </w:p>
          <w:p w:rsidR="00D76459" w:rsidRDefault="00D76459" w:rsidP="00802F67">
            <w:pPr>
              <w:widowControl/>
              <w:jc w:val="center"/>
              <w:textAlignment w:val="center"/>
              <w:rPr>
                <w:rFonts w:ascii="仿宋" w:eastAsia="仿宋" w:hAnsi="仿宋" w:cs="仿宋" w:hint="eastAsia"/>
                <w:color w:val="000000"/>
                <w:sz w:val="22"/>
                <w:szCs w:val="22"/>
              </w:rPr>
            </w:pPr>
          </w:p>
        </w:tc>
        <w:tc>
          <w:tcPr>
            <w:tcW w:w="1677" w:type="dxa"/>
            <w:vMerge w:val="restart"/>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2023年文化广电和旅游综合市场检查</w:t>
            </w:r>
          </w:p>
          <w:p w:rsidR="00D76459" w:rsidRDefault="00D76459" w:rsidP="00802F67">
            <w:pPr>
              <w:widowControl/>
              <w:jc w:val="center"/>
              <w:textAlignment w:val="center"/>
              <w:rPr>
                <w:rFonts w:ascii="仿宋" w:eastAsia="仿宋" w:hAnsi="仿宋" w:cs="仿宋" w:hint="eastAsia"/>
                <w:color w:val="000000"/>
                <w:sz w:val="22"/>
                <w:szCs w:val="22"/>
              </w:rPr>
            </w:pPr>
          </w:p>
        </w:tc>
        <w:tc>
          <w:tcPr>
            <w:tcW w:w="1323" w:type="dxa"/>
            <w:vMerge w:val="restart"/>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文化广电和旅游综合市场检查</w:t>
            </w:r>
          </w:p>
          <w:p w:rsidR="00D76459" w:rsidRDefault="00D76459" w:rsidP="00802F67">
            <w:pPr>
              <w:widowControl/>
              <w:textAlignment w:val="center"/>
              <w:rPr>
                <w:rFonts w:ascii="仿宋" w:eastAsia="仿宋" w:hAnsi="仿宋" w:cs="仿宋" w:hint="eastAsia"/>
                <w:color w:val="000000"/>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1.电影院在向观众明示的电影开始放映时间之后至电影放映结束前放映广告的</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610"/>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2.</w:t>
            </w:r>
            <w:r w:rsidR="00F725EC">
              <w:rPr>
                <w:rFonts w:ascii="仿宋" w:eastAsia="仿宋" w:hAnsi="仿宋" w:cs="仿宋" w:hint="eastAsia"/>
                <w:color w:val="000000"/>
                <w:sz w:val="22"/>
                <w:szCs w:val="22"/>
              </w:rPr>
              <w:t>电影发行企业、电影院等有制造虚</w:t>
            </w:r>
            <w:r>
              <w:rPr>
                <w:rFonts w:ascii="仿宋" w:eastAsia="仿宋" w:hAnsi="仿宋" w:cs="仿宋" w:hint="eastAsia"/>
                <w:color w:val="000000"/>
                <w:sz w:val="22"/>
                <w:szCs w:val="22"/>
              </w:rPr>
              <w:t>假交易、点报瞒报销售收入等行为，扰乱电影市场秩序的</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355"/>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3.发行，放映未取得电影公映许可证的电影的</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410"/>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4.擅自从事电影摄制、发行、放映活动的</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135"/>
        </w:trPr>
        <w:tc>
          <w:tcPr>
            <w:tcW w:w="668" w:type="dxa"/>
            <w:vMerge/>
            <w:vAlign w:val="center"/>
          </w:tcPr>
          <w:p w:rsidR="00D76459" w:rsidRDefault="00D76459" w:rsidP="00802F67">
            <w:pPr>
              <w:widowControl/>
              <w:jc w:val="center"/>
              <w:textAlignment w:val="center"/>
              <w:rPr>
                <w:rFonts w:ascii="仿宋" w:eastAsia="仿宋" w:hAnsi="仿宋" w:cs="仿宋" w:hint="eastAsia"/>
                <w:color w:val="000000"/>
                <w:sz w:val="22"/>
                <w:szCs w:val="22"/>
              </w:rPr>
            </w:pPr>
          </w:p>
        </w:tc>
        <w:tc>
          <w:tcPr>
            <w:tcW w:w="1677" w:type="dxa"/>
            <w:vMerge/>
            <w:vAlign w:val="center"/>
          </w:tcPr>
          <w:p w:rsidR="00D76459" w:rsidRDefault="00D76459" w:rsidP="00802F67">
            <w:pPr>
              <w:widowControl/>
              <w:jc w:val="center"/>
              <w:textAlignment w:val="center"/>
              <w:rPr>
                <w:rFonts w:ascii="仿宋" w:eastAsia="仿宋" w:hAnsi="仿宋" w:cs="仿宋" w:hint="eastAsia"/>
                <w:color w:val="000000"/>
                <w:sz w:val="22"/>
                <w:szCs w:val="22"/>
              </w:rPr>
            </w:pPr>
          </w:p>
        </w:tc>
        <w:tc>
          <w:tcPr>
            <w:tcW w:w="1323" w:type="dxa"/>
            <w:vMerge/>
            <w:vAlign w:val="center"/>
          </w:tcPr>
          <w:p w:rsidR="00D76459" w:rsidRDefault="00D76459" w:rsidP="00802F67">
            <w:pPr>
              <w:widowControl/>
              <w:jc w:val="center"/>
              <w:textAlignment w:val="center"/>
              <w:rPr>
                <w:rFonts w:ascii="仿宋" w:eastAsia="仿宋" w:hAnsi="仿宋" w:cs="仿宋" w:hint="eastAsia"/>
                <w:color w:val="000000"/>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5.对艺术品市场的监管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2722"/>
        </w:trPr>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6.对使用、管理不可移动文物的所有人，管理人或者使用人没有保持文物原有的整体性，擅自对其附属文物进行彩绘、添建、改建、迁建、损毁，改变文物的结构和原状的监管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3091"/>
        </w:trPr>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F725EC">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7.对文物的收藏单位安全防范措施；国有文物收藏单位法定代表人</w:t>
            </w:r>
            <w:r w:rsidR="00F725EC">
              <w:rPr>
                <w:rFonts w:ascii="仿宋" w:eastAsia="仿宋" w:hAnsi="仿宋" w:cs="仿宋" w:hint="eastAsia"/>
                <w:color w:val="000000"/>
                <w:sz w:val="22"/>
                <w:szCs w:val="22"/>
              </w:rPr>
              <w:t>离任</w:t>
            </w:r>
            <w:r>
              <w:rPr>
                <w:rFonts w:ascii="仿宋" w:eastAsia="仿宋" w:hAnsi="仿宋" w:cs="仿宋" w:hint="eastAsia"/>
                <w:color w:val="000000"/>
                <w:sz w:val="22"/>
                <w:szCs w:val="22"/>
              </w:rPr>
              <w:t>时移交馆藏文物情况；将国有馆藏文物赠与、出租或者出售行为；借用、交换，处置国有馆藏文物行为；依法调拨、交换、出借文物所得补偿费用的监管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453"/>
        </w:trPr>
        <w:tc>
          <w:tcPr>
            <w:tcW w:w="668" w:type="dxa"/>
            <w:vMerge/>
          </w:tcPr>
          <w:p w:rsidR="00D76459" w:rsidRDefault="00D76459" w:rsidP="00802F67">
            <w:pPr>
              <w:rPr>
                <w:rFonts w:ascii="仿宋" w:eastAsia="仿宋" w:hAnsi="仿宋" w:cs="仿宋" w:hint="eastAsia"/>
                <w:sz w:val="22"/>
                <w:szCs w:val="22"/>
              </w:rPr>
            </w:pPr>
          </w:p>
        </w:tc>
        <w:tc>
          <w:tcPr>
            <w:tcW w:w="1677" w:type="dxa"/>
            <w:vMerge/>
            <w:vAlign w:val="center"/>
          </w:tcPr>
          <w:p w:rsidR="00D76459" w:rsidRDefault="00D76459" w:rsidP="00802F67">
            <w:pPr>
              <w:widowControl/>
              <w:textAlignment w:val="center"/>
              <w:rPr>
                <w:rFonts w:ascii="仿宋" w:eastAsia="仿宋" w:hAnsi="仿宋" w:cs="仿宋" w:hint="eastAsia"/>
                <w:color w:val="000000"/>
                <w:sz w:val="22"/>
                <w:szCs w:val="22"/>
              </w:rPr>
            </w:pPr>
          </w:p>
        </w:tc>
        <w:tc>
          <w:tcPr>
            <w:tcW w:w="1323" w:type="dxa"/>
            <w:vMerge/>
            <w:vAlign w:val="center"/>
          </w:tcPr>
          <w:p w:rsidR="00D76459" w:rsidRDefault="00D76459" w:rsidP="00802F67">
            <w:pPr>
              <w:widowControl/>
              <w:jc w:val="center"/>
              <w:textAlignment w:val="center"/>
              <w:rPr>
                <w:rFonts w:ascii="仿宋" w:eastAsia="仿宋" w:hAnsi="仿宋" w:cs="仿宋" w:hint="eastAsia"/>
                <w:color w:val="000000"/>
                <w:sz w:val="22"/>
                <w:szCs w:val="22"/>
              </w:rPr>
            </w:pPr>
          </w:p>
        </w:tc>
        <w:tc>
          <w:tcPr>
            <w:tcW w:w="2973"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8.对文物收藏单位收</w:t>
            </w:r>
            <w:r w:rsidR="00F725EC">
              <w:rPr>
                <w:rFonts w:ascii="仿宋" w:eastAsia="仿宋" w:hAnsi="仿宋" w:cs="仿宋" w:hint="eastAsia"/>
                <w:color w:val="000000"/>
                <w:sz w:val="22"/>
                <w:szCs w:val="22"/>
              </w:rPr>
              <w:t>藏</w:t>
            </w:r>
            <w:r>
              <w:rPr>
                <w:rFonts w:ascii="仿宋" w:eastAsia="仿宋" w:hAnsi="仿宋" w:cs="仿宋" w:hint="eastAsia"/>
                <w:color w:val="000000"/>
                <w:sz w:val="22"/>
                <w:szCs w:val="22"/>
              </w:rPr>
              <w:t>文物的保存状况的监管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2635"/>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9.对将转让或者抵押国有不可移动文物，或者将国有不可移动文物作为企业资产经营行为；将非国有不可移动文物转让或者抵押给外国人行为；擅自改变国有文物保护单位用途行为的监管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149"/>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10.对文物系统一级风险单位安全情况的监管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189"/>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11．对未经考古调查、勘探擅自进行工程建设的监管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2359"/>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jc w:val="left"/>
              <w:rPr>
                <w:rFonts w:ascii="仿宋" w:eastAsia="仿宋" w:hAnsi="仿宋" w:cs="仿宋" w:hint="eastAsia"/>
                <w:sz w:val="22"/>
                <w:szCs w:val="22"/>
              </w:rPr>
            </w:pPr>
            <w:r>
              <w:rPr>
                <w:rFonts w:ascii="仿宋" w:eastAsia="仿宋" w:hAnsi="仿宋" w:cs="仿宋" w:hint="eastAsia"/>
                <w:color w:val="000000"/>
                <w:sz w:val="22"/>
                <w:szCs w:val="22"/>
              </w:rPr>
              <w:t>12．对文物保护单位发生或者可能发生重大险情时，文物保护单位的所有人，管理人或者使用人未及时采取保护措施，未立即向所在地文物行政部门报告的监管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13．对娱乐场所从事娱乐场所经营活动的监管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2667"/>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14．对擅自在文物保护单位的保护范围内进行建设工程或者爆破、钻探、挖掘等作业行为；在文物保护单位的建设控制地带内进行建设工程；擅自迁移、拆除不可移动文物行为的监管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208"/>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jc w:val="left"/>
              <w:rPr>
                <w:rFonts w:ascii="仿宋" w:eastAsia="仿宋" w:hAnsi="仿宋" w:cs="仿宋" w:hint="eastAsia"/>
                <w:sz w:val="22"/>
                <w:szCs w:val="22"/>
              </w:rPr>
            </w:pPr>
            <w:r>
              <w:rPr>
                <w:rFonts w:ascii="仿宋" w:eastAsia="仿宋" w:hAnsi="仿宋" w:cs="仿宋" w:hint="eastAsia"/>
                <w:color w:val="000000"/>
                <w:sz w:val="22"/>
                <w:szCs w:val="22"/>
              </w:rPr>
              <w:t>15</w:t>
            </w:r>
            <w:r>
              <w:rPr>
                <w:rFonts w:ascii="仿宋" w:eastAsia="仿宋" w:hAnsi="仿宋" w:cs="仿宋" w:hint="eastAsia"/>
                <w:color w:val="000000"/>
                <w:sz w:val="22"/>
                <w:szCs w:val="22"/>
              </w:rPr>
              <w:tab/>
              <w:t>对旅行社经营出境旅游业务资格的监管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095"/>
        </w:trPr>
        <w:tc>
          <w:tcPr>
            <w:tcW w:w="668" w:type="dxa"/>
            <w:vMerge/>
          </w:tcPr>
          <w:p w:rsidR="00D76459" w:rsidRDefault="00D76459" w:rsidP="00802F67">
            <w:pPr>
              <w:rPr>
                <w:rFonts w:ascii="仿宋" w:eastAsia="仿宋" w:hAnsi="仿宋" w:cs="仿宋" w:hint="eastAsia"/>
                <w:sz w:val="22"/>
                <w:szCs w:val="22"/>
              </w:rPr>
            </w:pPr>
          </w:p>
        </w:tc>
        <w:tc>
          <w:tcPr>
            <w:tcW w:w="1677" w:type="dxa"/>
            <w:vMerge/>
          </w:tcPr>
          <w:p w:rsidR="00D76459" w:rsidRDefault="00D76459" w:rsidP="00802F67">
            <w:pPr>
              <w:rPr>
                <w:rFonts w:ascii="仿宋" w:eastAsia="仿宋" w:hAnsi="仿宋" w:cs="仿宋" w:hint="eastAsia"/>
                <w:sz w:val="22"/>
                <w:szCs w:val="22"/>
              </w:rPr>
            </w:pPr>
          </w:p>
        </w:tc>
        <w:tc>
          <w:tcPr>
            <w:tcW w:w="1323" w:type="dxa"/>
            <w:vMerge/>
          </w:tcPr>
          <w:p w:rsidR="00D76459" w:rsidRDefault="00D76459" w:rsidP="00802F67">
            <w:pPr>
              <w:rPr>
                <w:rFonts w:ascii="仿宋" w:eastAsia="仿宋" w:hAnsi="仿宋" w:cs="仿宋" w:hint="eastAsia"/>
                <w:sz w:val="22"/>
                <w:szCs w:val="22"/>
              </w:rPr>
            </w:pPr>
          </w:p>
        </w:tc>
        <w:tc>
          <w:tcPr>
            <w:tcW w:w="2973" w:type="dxa"/>
            <w:vAlign w:val="center"/>
          </w:tcPr>
          <w:p w:rsidR="00D76459" w:rsidRDefault="00D76459" w:rsidP="00802F67">
            <w:pPr>
              <w:widowControl/>
              <w:jc w:val="left"/>
              <w:textAlignment w:val="center"/>
              <w:rPr>
                <w:rFonts w:ascii="仿宋" w:eastAsia="仿宋" w:hAnsi="仿宋" w:cs="仿宋" w:hint="eastAsia"/>
                <w:sz w:val="22"/>
                <w:szCs w:val="22"/>
              </w:rPr>
            </w:pPr>
            <w:r>
              <w:rPr>
                <w:rFonts w:ascii="仿宋" w:eastAsia="仿宋" w:hAnsi="仿宋" w:cs="仿宋" w:hint="eastAsia"/>
                <w:color w:val="000000"/>
                <w:sz w:val="22"/>
                <w:szCs w:val="22"/>
              </w:rPr>
              <w:t>16．对广播电视设施保护的监管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236"/>
        </w:trPr>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17．对文艺表演团体的监管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18．对未取得资质证书从事馆藏文物修复、复制、拓印活动的监管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19．对拟从事导游服务的个人申领导游人员从业资格证</w:t>
            </w:r>
            <w:r>
              <w:rPr>
                <w:rFonts w:ascii="仿宋" w:eastAsia="仿宋" w:hAnsi="仿宋" w:cs="仿宋" w:hint="eastAsia"/>
                <w:color w:val="000000"/>
                <w:sz w:val="22"/>
                <w:szCs w:val="22"/>
              </w:rPr>
              <w:lastRenderedPageBreak/>
              <w:t>书的监管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一般检查</w:t>
            </w:r>
            <w:r>
              <w:rPr>
                <w:rFonts w:ascii="仿宋" w:eastAsia="仿宋" w:hAnsi="仿宋" w:cs="仿宋" w:hint="eastAsia"/>
                <w:color w:val="000000"/>
                <w:sz w:val="22"/>
                <w:szCs w:val="22"/>
              </w:rPr>
              <w:lastRenderedPageBreak/>
              <w:t>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不定项抽</w:t>
            </w:r>
            <w:r>
              <w:rPr>
                <w:rFonts w:ascii="仿宋" w:eastAsia="仿宋" w:hAnsi="仿宋" w:cs="仿宋" w:hint="eastAsia"/>
                <w:color w:val="000000"/>
                <w:sz w:val="22"/>
                <w:szCs w:val="22"/>
              </w:rPr>
              <w:lastRenderedPageBreak/>
              <w:t>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文化、广电、旅游、新闻出版综</w:t>
            </w:r>
            <w:r>
              <w:rPr>
                <w:rFonts w:ascii="仿宋" w:eastAsia="仿宋" w:hAnsi="仿宋" w:cs="仿宋" w:hint="eastAsia"/>
                <w:color w:val="000000"/>
                <w:sz w:val="22"/>
                <w:szCs w:val="22"/>
              </w:rPr>
              <w:lastRenderedPageBreak/>
              <w:t>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lastRenderedPageBreak/>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w:t>
            </w:r>
            <w:r>
              <w:rPr>
                <w:rFonts w:ascii="仿宋" w:eastAsia="仿宋" w:hAnsi="仿宋" w:cs="仿宋" w:hint="eastAsia"/>
                <w:color w:val="000000"/>
                <w:kern w:val="0"/>
                <w:sz w:val="22"/>
                <w:szCs w:val="22"/>
              </w:rPr>
              <w:lastRenderedPageBreak/>
              <w:t>广电和旅游局</w:t>
            </w:r>
          </w:p>
        </w:tc>
      </w:tr>
      <w:tr w:rsidR="00D76459" w:rsidTr="00802F67">
        <w:trPr>
          <w:trHeight w:val="1272"/>
        </w:trPr>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20．对广播电视和网络视听节目安全播出、安全传输的监管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271"/>
        </w:trPr>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21．对设置使用卫星电视广播地面接收设施的监管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22．对馆藏文物修复、复制、拓印活动的监管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23</w:t>
            </w:r>
            <w:r w:rsidR="002103E0">
              <w:rPr>
                <w:rFonts w:ascii="仿宋" w:eastAsia="仿宋" w:hAnsi="仿宋" w:cs="仿宋" w:hint="eastAsia"/>
                <w:color w:val="000000"/>
                <w:sz w:val="22"/>
                <w:szCs w:val="22"/>
              </w:rPr>
              <w:t>．对违规使用广播电视专用频段</w:t>
            </w:r>
            <w:r>
              <w:rPr>
                <w:rFonts w:ascii="仿宋" w:eastAsia="仿宋" w:hAnsi="仿宋" w:cs="仿宋" w:hint="eastAsia"/>
                <w:color w:val="000000"/>
                <w:sz w:val="22"/>
                <w:szCs w:val="22"/>
              </w:rPr>
              <w:t>频率的监管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1285"/>
        </w:trPr>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24．对违规使用广播电视专用频设频率的监管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2444"/>
        </w:trPr>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25．广播电台，电视台出租转让播出时段或与系统外机构合资，合作经营广播电视频道（率），播出时段，未经批准与其他播出机构合办广播电视频道（率）的监管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vAlign w:val="center"/>
          </w:tcPr>
          <w:p w:rsidR="00D76459" w:rsidRDefault="00D76459" w:rsidP="00802F67">
            <w:pPr>
              <w:jc w:val="center"/>
              <w:rPr>
                <w:rFonts w:ascii="仿宋" w:eastAsia="仿宋" w:hAnsi="仿宋" w:cs="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26．对广播电视节目制作机构的经营情况的监管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vAlign w:val="center"/>
          </w:tcPr>
          <w:p w:rsidR="00D76459" w:rsidRDefault="00D76459" w:rsidP="00802F67">
            <w:pPr>
              <w:jc w:val="center"/>
              <w:rPr>
                <w:rFonts w:ascii="仿宋" w:eastAsia="仿宋" w:hAnsi="仿宋" w:cs="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27．对经营性互联网文化活动的监管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vAlign w:val="center"/>
          </w:tcPr>
          <w:p w:rsidR="00D76459" w:rsidRDefault="00D76459" w:rsidP="00802F67">
            <w:pPr>
              <w:jc w:val="center"/>
              <w:rPr>
                <w:rFonts w:ascii="仿宋" w:eastAsia="仿宋" w:hAnsi="仿宋" w:cs="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28.对演出场所经营单位的监管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vAlign w:val="center"/>
          </w:tcPr>
          <w:p w:rsidR="00D76459" w:rsidRDefault="00D76459" w:rsidP="00802F67">
            <w:pPr>
              <w:jc w:val="cente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29．对专网及定向传播视听节目服务单位业务运营的监管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hint="eastAsia"/>
                <w:sz w:val="32"/>
                <w:szCs w:val="32"/>
              </w:rPr>
            </w:pPr>
          </w:p>
        </w:tc>
        <w:tc>
          <w:tcPr>
            <w:tcW w:w="1323" w:type="dxa"/>
            <w:vMerge/>
            <w:vAlign w:val="center"/>
          </w:tcPr>
          <w:p w:rsidR="00D76459" w:rsidRDefault="00D76459" w:rsidP="00802F67">
            <w:pPr>
              <w:jc w:val="cente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30．对施工单位文物保护工程资质的监管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w:t>
            </w:r>
            <w:r>
              <w:rPr>
                <w:rFonts w:ascii="仿宋" w:eastAsia="仿宋" w:hAnsi="仿宋" w:cs="仿宋" w:hint="eastAsia"/>
                <w:color w:val="000000"/>
                <w:kern w:val="0"/>
                <w:sz w:val="22"/>
                <w:szCs w:val="22"/>
              </w:rPr>
              <w:lastRenderedPageBreak/>
              <w:t>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31．对利用文物保护单位举办大型活动的监管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32．依据《印刷业管理条例》《出版管理条例》对印刷出版的行政执法</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33．按照《娱乐场所管理条例》的监管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34．依据《社会艺术水平考级管理办法》的监管</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35．对广播电视节目运营情况的检查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36．对广播电视广告播出情况的检查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37．对文物保护单位安全防护设施建设情况的检查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w:t>
            </w:r>
            <w:r>
              <w:rPr>
                <w:rFonts w:ascii="仿宋" w:eastAsia="仿宋" w:hAnsi="仿宋" w:cs="仿宋" w:hint="eastAsia"/>
                <w:color w:val="000000"/>
                <w:sz w:val="22"/>
                <w:szCs w:val="22"/>
              </w:rPr>
              <w:lastRenderedPageBreak/>
              <w:t>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不定项抽</w:t>
            </w:r>
            <w:r>
              <w:rPr>
                <w:rFonts w:ascii="仿宋" w:eastAsia="仿宋" w:hAnsi="仿宋" w:cs="仿宋" w:hint="eastAsia"/>
                <w:color w:val="000000"/>
                <w:sz w:val="22"/>
                <w:szCs w:val="22"/>
              </w:rPr>
              <w:lastRenderedPageBreak/>
              <w:t>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文化、广电、旅游、新闻出版综</w:t>
            </w:r>
            <w:r>
              <w:rPr>
                <w:rFonts w:ascii="仿宋" w:eastAsia="仿宋" w:hAnsi="仿宋" w:cs="仿宋" w:hint="eastAsia"/>
                <w:color w:val="000000"/>
                <w:sz w:val="22"/>
                <w:szCs w:val="22"/>
              </w:rPr>
              <w:lastRenderedPageBreak/>
              <w:t>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lastRenderedPageBreak/>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w:t>
            </w:r>
            <w:r>
              <w:rPr>
                <w:rFonts w:ascii="仿宋" w:eastAsia="仿宋" w:hAnsi="仿宋" w:cs="仿宋" w:hint="eastAsia"/>
                <w:color w:val="000000"/>
                <w:kern w:val="0"/>
                <w:sz w:val="22"/>
                <w:szCs w:val="22"/>
              </w:rPr>
              <w:lastRenderedPageBreak/>
              <w:t>和旅游局</w:t>
            </w:r>
          </w:p>
        </w:tc>
      </w:tr>
      <w:tr w:rsidR="00D76459" w:rsidTr="00802F67">
        <w:trPr>
          <w:trHeight w:val="1310"/>
        </w:trPr>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38.对馆藏一级文物保护管理情况的检查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39.对文物系统一级风险单位安全情况的检查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40.对博物馆展览开展情况的检查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41.对非法出版物的检查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3632"/>
        </w:trPr>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vAlign w:val="center"/>
          </w:tcPr>
          <w:p w:rsidR="00D76459" w:rsidRDefault="00D76459" w:rsidP="00802F67">
            <w:pPr>
              <w:jc w:val="left"/>
              <w:rPr>
                <w:rFonts w:ascii="仿宋" w:eastAsia="仿宋" w:hAnsi="仿宋" w:cs="仿宋" w:hint="eastAsia"/>
                <w:sz w:val="32"/>
                <w:szCs w:val="32"/>
              </w:rPr>
            </w:pPr>
            <w:r>
              <w:rPr>
                <w:rFonts w:ascii="仿宋" w:eastAsia="仿宋" w:hAnsi="仿宋" w:cs="仿宋" w:hint="eastAsia"/>
                <w:color w:val="000000"/>
                <w:sz w:val="22"/>
                <w:szCs w:val="22"/>
              </w:rPr>
              <w:t>42.对利用明火照明或者发现吸烟不予制止，或者未悬挂禁止吸烟标志的，允许带入或者存放易燃、易爆物品，在营业场所安装固定的封闭门窗栅栏，营业期间封堵或者锁闭门窗、安全疏散通道或者安全出口</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rPr>
          <w:trHeight w:val="2448"/>
        </w:trPr>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43.擅自停止实施安全技术措施的，对向上网消费者提供的计算机未通过局域网的方式接入互联网、未按规定核对、登记上网消费者的有效证件检查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802F67">
            <w:pPr>
              <w:rPr>
                <w:rFonts w:ascii="仿宋" w:eastAsia="仿宋" w:hAnsi="仿宋" w:cs="仿宋" w:hint="eastAsia"/>
                <w:sz w:val="32"/>
                <w:szCs w:val="32"/>
              </w:rPr>
            </w:pPr>
            <w:r>
              <w:rPr>
                <w:rFonts w:ascii="仿宋" w:eastAsia="仿宋" w:hAnsi="仿宋" w:cs="仿宋" w:hint="eastAsia"/>
                <w:color w:val="000000"/>
                <w:sz w:val="22"/>
                <w:szCs w:val="22"/>
              </w:rPr>
              <w:t>44.对接纳未成年人进入营业场所的、擅自停止实施经营管理技术措施、未悬挂《网络文化经营许可证》或者未成年人禁入标志的检查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802F67">
            <w:pPr>
              <w:widowControl/>
              <w:jc w:val="left"/>
              <w:textAlignment w:val="center"/>
              <w:rPr>
                <w:rFonts w:ascii="仿宋" w:eastAsia="仿宋" w:hAnsi="仿宋" w:cs="仿宋" w:hint="eastAsia"/>
                <w:sz w:val="32"/>
                <w:szCs w:val="32"/>
              </w:rPr>
            </w:pPr>
            <w:r>
              <w:rPr>
                <w:rFonts w:ascii="仿宋" w:eastAsia="仿宋" w:hAnsi="仿宋" w:cs="仿宋" w:hint="eastAsia"/>
                <w:color w:val="000000"/>
                <w:sz w:val="22"/>
                <w:szCs w:val="22"/>
              </w:rPr>
              <w:t>45.对利用互联网上网营业</w:t>
            </w:r>
            <w:r>
              <w:rPr>
                <w:rFonts w:ascii="仿宋" w:eastAsia="仿宋" w:hAnsi="仿宋" w:cs="仿宋" w:hint="eastAsia"/>
                <w:color w:val="000000"/>
                <w:sz w:val="22"/>
                <w:szCs w:val="22"/>
              </w:rPr>
              <w:lastRenderedPageBreak/>
              <w:t>场所制作、下载等方式使用含有法定禁止内容信息的检查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一般</w:t>
            </w:r>
            <w:r>
              <w:rPr>
                <w:rFonts w:ascii="仿宋" w:eastAsia="仿宋" w:hAnsi="仿宋" w:cs="仿宋" w:hint="eastAsia"/>
                <w:color w:val="000000"/>
                <w:sz w:val="22"/>
                <w:szCs w:val="22"/>
              </w:rPr>
              <w:lastRenderedPageBreak/>
              <w:t>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不定</w:t>
            </w:r>
            <w:r>
              <w:rPr>
                <w:rFonts w:ascii="仿宋" w:eastAsia="仿宋" w:hAnsi="仿宋" w:cs="仿宋" w:hint="eastAsia"/>
                <w:color w:val="000000"/>
                <w:sz w:val="22"/>
                <w:szCs w:val="22"/>
              </w:rPr>
              <w:lastRenderedPageBreak/>
              <w:t>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lastRenderedPageBreak/>
              <w:t>文化、广电、旅</w:t>
            </w:r>
            <w:r>
              <w:rPr>
                <w:rFonts w:ascii="仿宋" w:eastAsia="仿宋" w:hAnsi="仿宋" w:cs="仿宋" w:hint="eastAsia"/>
                <w:color w:val="000000"/>
                <w:sz w:val="22"/>
                <w:szCs w:val="22"/>
              </w:rPr>
              <w:lastRenderedPageBreak/>
              <w:t>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lastRenderedPageBreak/>
              <w:t>2023年8</w:t>
            </w:r>
            <w:r>
              <w:rPr>
                <w:rFonts w:ascii="仿宋" w:eastAsia="仿宋" w:hAnsi="仿宋" w:cs="仿宋" w:hint="eastAsia"/>
                <w:color w:val="000000"/>
                <w:kern w:val="0"/>
                <w:sz w:val="22"/>
                <w:szCs w:val="22"/>
              </w:rPr>
              <w:lastRenderedPageBreak/>
              <w:t>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lastRenderedPageBreak/>
              <w:t>现场</w:t>
            </w:r>
            <w:r>
              <w:rPr>
                <w:rFonts w:ascii="仿宋" w:eastAsia="仿宋" w:hAnsi="仿宋" w:cs="仿宋" w:hint="eastAsia"/>
                <w:color w:val="000000"/>
                <w:kern w:val="0"/>
                <w:sz w:val="22"/>
                <w:szCs w:val="22"/>
              </w:rPr>
              <w:lastRenderedPageBreak/>
              <w:t>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lastRenderedPageBreak/>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w:t>
            </w:r>
            <w:r>
              <w:rPr>
                <w:rFonts w:ascii="仿宋" w:eastAsia="仿宋" w:hAnsi="仿宋" w:cs="仿宋" w:hint="eastAsia"/>
                <w:color w:val="000000"/>
                <w:kern w:val="0"/>
                <w:sz w:val="22"/>
                <w:szCs w:val="22"/>
              </w:rPr>
              <w:lastRenderedPageBreak/>
              <w:t>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w:t>
            </w:r>
            <w:r>
              <w:rPr>
                <w:rFonts w:ascii="仿宋" w:eastAsia="仿宋" w:hAnsi="仿宋" w:cs="仿宋" w:hint="eastAsia"/>
                <w:color w:val="000000"/>
                <w:kern w:val="0"/>
                <w:sz w:val="22"/>
                <w:szCs w:val="22"/>
              </w:rPr>
              <w:lastRenderedPageBreak/>
              <w:t>广电和旅游局</w:t>
            </w:r>
          </w:p>
        </w:tc>
      </w:tr>
      <w:tr w:rsidR="00D76459" w:rsidTr="00802F67">
        <w:tc>
          <w:tcPr>
            <w:tcW w:w="668" w:type="dxa"/>
            <w:vMerge/>
          </w:tcPr>
          <w:p w:rsidR="00D76459" w:rsidRDefault="00D76459" w:rsidP="00802F67">
            <w:pPr>
              <w:rPr>
                <w:rFonts w:ascii="仿宋" w:eastAsia="仿宋" w:hAnsi="仿宋" w:cs="仿宋" w:hint="eastAsia"/>
                <w:sz w:val="32"/>
                <w:szCs w:val="32"/>
              </w:rPr>
            </w:pPr>
          </w:p>
        </w:tc>
        <w:tc>
          <w:tcPr>
            <w:tcW w:w="1677" w:type="dxa"/>
            <w:vMerge/>
          </w:tcPr>
          <w:p w:rsidR="00D76459" w:rsidRDefault="00D76459" w:rsidP="00802F67">
            <w:pPr>
              <w:rPr>
                <w:rFonts w:ascii="仿宋" w:eastAsia="仿宋" w:hAnsi="仿宋" w:cs="仿宋" w:hint="eastAsia"/>
                <w:sz w:val="32"/>
                <w:szCs w:val="32"/>
              </w:rPr>
            </w:pPr>
          </w:p>
        </w:tc>
        <w:tc>
          <w:tcPr>
            <w:tcW w:w="1323" w:type="dxa"/>
            <w:vMerge/>
          </w:tcPr>
          <w:p w:rsidR="00D76459" w:rsidRDefault="00D76459" w:rsidP="00802F67">
            <w:pPr>
              <w:rPr>
                <w:rFonts w:ascii="仿宋" w:eastAsia="仿宋" w:hAnsi="仿宋" w:cs="仿宋" w:hint="eastAsia"/>
                <w:sz w:val="32"/>
                <w:szCs w:val="32"/>
              </w:rPr>
            </w:pPr>
          </w:p>
        </w:tc>
        <w:tc>
          <w:tcPr>
            <w:tcW w:w="2973" w:type="dxa"/>
          </w:tcPr>
          <w:p w:rsidR="00D76459" w:rsidRDefault="00D76459" w:rsidP="00802F67">
            <w:pPr>
              <w:rPr>
                <w:rFonts w:ascii="仿宋" w:eastAsia="仿宋" w:hAnsi="仿宋" w:cs="仿宋" w:hint="eastAsia"/>
                <w:sz w:val="32"/>
                <w:szCs w:val="32"/>
              </w:rPr>
            </w:pPr>
            <w:r>
              <w:rPr>
                <w:rFonts w:ascii="仿宋" w:eastAsia="仿宋" w:hAnsi="仿宋" w:cs="仿宋" w:hint="eastAsia"/>
                <w:color w:val="000000"/>
                <w:sz w:val="22"/>
                <w:szCs w:val="22"/>
              </w:rPr>
              <w:t>46.对互联网上网服务营业场所涂改、出租、出借或者以其他方式转让《网络文化经营许可证》的检查</w:t>
            </w:r>
          </w:p>
        </w:tc>
        <w:tc>
          <w:tcPr>
            <w:tcW w:w="698"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一般检查事项</w:t>
            </w:r>
          </w:p>
        </w:tc>
        <w:tc>
          <w:tcPr>
            <w:tcW w:w="67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不定项抽查</w:t>
            </w:r>
          </w:p>
        </w:tc>
        <w:tc>
          <w:tcPr>
            <w:tcW w:w="1815" w:type="dxa"/>
            <w:vAlign w:val="center"/>
          </w:tcPr>
          <w:p w:rsidR="00D76459" w:rsidRDefault="00D76459" w:rsidP="00802F6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sz w:val="22"/>
                <w:szCs w:val="22"/>
              </w:rPr>
              <w:t>文化、广电、旅游、新闻出版综合市场监管对象</w:t>
            </w:r>
          </w:p>
        </w:tc>
        <w:tc>
          <w:tcPr>
            <w:tcW w:w="12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2023年8月至11月</w:t>
            </w:r>
          </w:p>
        </w:tc>
        <w:tc>
          <w:tcPr>
            <w:tcW w:w="69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现场检查</w:t>
            </w:r>
          </w:p>
        </w:tc>
        <w:tc>
          <w:tcPr>
            <w:tcW w:w="720"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10%</w:t>
            </w:r>
          </w:p>
        </w:tc>
        <w:tc>
          <w:tcPr>
            <w:tcW w:w="1305" w:type="dxa"/>
            <w:vAlign w:val="center"/>
          </w:tcPr>
          <w:p w:rsidR="00D76459" w:rsidRDefault="00D76459" w:rsidP="00802F67">
            <w:pPr>
              <w:widowControl/>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2023年9月至11月</w:t>
            </w:r>
          </w:p>
        </w:tc>
        <w:tc>
          <w:tcPr>
            <w:tcW w:w="810" w:type="dxa"/>
            <w:vAlign w:val="center"/>
          </w:tcPr>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p>
          <w:p w:rsidR="00D76459" w:rsidRDefault="00D76459" w:rsidP="00802F67">
            <w:pPr>
              <w:widowControl/>
              <w:spacing w:line="240" w:lineRule="exact"/>
              <w:jc w:val="center"/>
              <w:textAlignment w:val="center"/>
              <w:rPr>
                <w:rFonts w:ascii="仿宋" w:eastAsia="仿宋" w:hAnsi="仿宋" w:cs="仿宋" w:hint="eastAsia"/>
                <w:color w:val="000000"/>
                <w:kern w:val="0"/>
                <w:sz w:val="22"/>
                <w:szCs w:val="22"/>
              </w:rPr>
            </w:pPr>
            <w:r>
              <w:rPr>
                <w:rFonts w:ascii="仿宋" w:eastAsia="仿宋" w:hAnsi="仿宋" w:cs="仿宋" w:hint="eastAsia"/>
                <w:color w:val="000000"/>
                <w:kern w:val="0"/>
                <w:sz w:val="22"/>
                <w:szCs w:val="22"/>
              </w:rPr>
              <w:t>文化广电和旅游局</w:t>
            </w:r>
          </w:p>
        </w:tc>
      </w:tr>
    </w:tbl>
    <w:p w:rsidR="0089509A" w:rsidRDefault="0089509A">
      <w:pPr>
        <w:spacing w:line="480" w:lineRule="auto"/>
        <w:rPr>
          <w:rFonts w:ascii="FangSong_GB2312" w:eastAsia="FangSong_GB2312" w:hAnsi="FangSong_GB2312" w:cs="FangSong_GB2312"/>
          <w:sz w:val="32"/>
          <w:szCs w:val="32"/>
        </w:rPr>
      </w:pPr>
    </w:p>
    <w:p w:rsidR="0089509A" w:rsidRDefault="0089509A">
      <w:pPr>
        <w:pStyle w:val="a5"/>
        <w:widowControl/>
        <w:shd w:val="clear" w:color="auto" w:fill="FFFFFF"/>
        <w:spacing w:beforeAutospacing="0" w:afterAutospacing="0" w:line="560" w:lineRule="exact"/>
        <w:jc w:val="both"/>
        <w:rPr>
          <w:rFonts w:ascii="仿宋" w:eastAsia="仿宋" w:hAnsi="仿宋" w:cs="仿宋"/>
          <w:kern w:val="2"/>
          <w:sz w:val="32"/>
          <w:szCs w:val="32"/>
        </w:rPr>
      </w:pPr>
    </w:p>
    <w:sectPr w:rsidR="0089509A" w:rsidSect="0089509A">
      <w:footerReference w:type="default" r:id="rId8"/>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59" w:rsidRDefault="00AA4659" w:rsidP="0089509A">
      <w:r>
        <w:separator/>
      </w:r>
    </w:p>
  </w:endnote>
  <w:endnote w:type="continuationSeparator" w:id="0">
    <w:p w:rsidR="00AA4659" w:rsidRDefault="00AA4659" w:rsidP="0089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2661"/>
    </w:sdtPr>
    <w:sdtContent>
      <w:p w:rsidR="0089509A" w:rsidRDefault="00873EA9">
        <w:pPr>
          <w:pStyle w:val="a3"/>
          <w:jc w:val="center"/>
        </w:pPr>
        <w:r w:rsidRPr="00873EA9">
          <w:fldChar w:fldCharType="begin"/>
        </w:r>
        <w:r w:rsidR="00CB41AB">
          <w:instrText xml:space="preserve"> PAGE   \* MERGEFORMAT </w:instrText>
        </w:r>
        <w:r w:rsidRPr="00873EA9">
          <w:fldChar w:fldCharType="separate"/>
        </w:r>
        <w:r w:rsidR="002103E0" w:rsidRPr="002103E0">
          <w:rPr>
            <w:noProof/>
            <w:lang w:val="zh-CN"/>
          </w:rPr>
          <w:t>11</w:t>
        </w:r>
        <w:r>
          <w:rPr>
            <w:lang w:val="zh-CN"/>
          </w:rPr>
          <w:fldChar w:fldCharType="end"/>
        </w:r>
      </w:p>
    </w:sdtContent>
  </w:sdt>
  <w:p w:rsidR="0089509A" w:rsidRDefault="008950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59" w:rsidRDefault="00AA4659" w:rsidP="0089509A">
      <w:r>
        <w:separator/>
      </w:r>
    </w:p>
  </w:footnote>
  <w:footnote w:type="continuationSeparator" w:id="0">
    <w:p w:rsidR="00AA4659" w:rsidRDefault="00AA4659" w:rsidP="00895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58BA5"/>
    <w:multiLevelType w:val="singleLevel"/>
    <w:tmpl w:val="89E58BA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8"/>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M2NGQzNGE5MDE5ZTliMTIwZTA5NjhlNGU5YWM5N2UifQ=="/>
  </w:docVars>
  <w:rsids>
    <w:rsidRoot w:val="14765165"/>
    <w:rsid w:val="0002108E"/>
    <w:rsid w:val="00051CDB"/>
    <w:rsid w:val="001E7D9A"/>
    <w:rsid w:val="002103E0"/>
    <w:rsid w:val="002214DB"/>
    <w:rsid w:val="00233B4F"/>
    <w:rsid w:val="004300B2"/>
    <w:rsid w:val="00574A72"/>
    <w:rsid w:val="005A0E65"/>
    <w:rsid w:val="0067318F"/>
    <w:rsid w:val="0075474D"/>
    <w:rsid w:val="00873EA9"/>
    <w:rsid w:val="0089509A"/>
    <w:rsid w:val="008E1709"/>
    <w:rsid w:val="009F0D8F"/>
    <w:rsid w:val="00AA4659"/>
    <w:rsid w:val="00BF1504"/>
    <w:rsid w:val="00C948DF"/>
    <w:rsid w:val="00CB41AB"/>
    <w:rsid w:val="00D76459"/>
    <w:rsid w:val="00DA58D6"/>
    <w:rsid w:val="00DD39EA"/>
    <w:rsid w:val="00EB3ED3"/>
    <w:rsid w:val="00ED3679"/>
    <w:rsid w:val="00F725EC"/>
    <w:rsid w:val="00FF1551"/>
    <w:rsid w:val="00FF1C89"/>
    <w:rsid w:val="0B7543A5"/>
    <w:rsid w:val="0C2252B3"/>
    <w:rsid w:val="0D506DFB"/>
    <w:rsid w:val="0F280084"/>
    <w:rsid w:val="0F4C2412"/>
    <w:rsid w:val="113118BF"/>
    <w:rsid w:val="14765165"/>
    <w:rsid w:val="14F646FE"/>
    <w:rsid w:val="23981726"/>
    <w:rsid w:val="23C57D44"/>
    <w:rsid w:val="24290E2F"/>
    <w:rsid w:val="257A26E6"/>
    <w:rsid w:val="27902BDA"/>
    <w:rsid w:val="28FB65E3"/>
    <w:rsid w:val="292D3D85"/>
    <w:rsid w:val="29C66F9E"/>
    <w:rsid w:val="2AA93966"/>
    <w:rsid w:val="31C0661C"/>
    <w:rsid w:val="33642EA6"/>
    <w:rsid w:val="3A5F752F"/>
    <w:rsid w:val="3B3669E7"/>
    <w:rsid w:val="3D0C24CF"/>
    <w:rsid w:val="3D0F48FB"/>
    <w:rsid w:val="3E4325B7"/>
    <w:rsid w:val="3F652334"/>
    <w:rsid w:val="4496320C"/>
    <w:rsid w:val="44976D57"/>
    <w:rsid w:val="459413F9"/>
    <w:rsid w:val="48FC50EA"/>
    <w:rsid w:val="493B4A09"/>
    <w:rsid w:val="4BDA29BB"/>
    <w:rsid w:val="4FA36E2B"/>
    <w:rsid w:val="55B654BC"/>
    <w:rsid w:val="56F00616"/>
    <w:rsid w:val="5C337866"/>
    <w:rsid w:val="61BE6674"/>
    <w:rsid w:val="6E967F59"/>
    <w:rsid w:val="71720571"/>
    <w:rsid w:val="726973A0"/>
    <w:rsid w:val="747904DC"/>
    <w:rsid w:val="74BA06CD"/>
    <w:rsid w:val="767F1A92"/>
    <w:rsid w:val="76E16E98"/>
    <w:rsid w:val="7AC72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0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9509A"/>
    <w:pPr>
      <w:tabs>
        <w:tab w:val="center" w:pos="4153"/>
        <w:tab w:val="right" w:pos="8306"/>
      </w:tabs>
      <w:snapToGrid w:val="0"/>
      <w:jc w:val="left"/>
    </w:pPr>
    <w:rPr>
      <w:sz w:val="18"/>
      <w:szCs w:val="18"/>
    </w:rPr>
  </w:style>
  <w:style w:type="paragraph" w:styleId="a4">
    <w:name w:val="header"/>
    <w:basedOn w:val="a"/>
    <w:link w:val="Char0"/>
    <w:qFormat/>
    <w:rsid w:val="0089509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9509A"/>
    <w:pPr>
      <w:spacing w:beforeAutospacing="1" w:afterAutospacing="1"/>
      <w:jc w:val="left"/>
    </w:pPr>
    <w:rPr>
      <w:rFonts w:cs="Times New Roman"/>
      <w:kern w:val="0"/>
      <w:sz w:val="24"/>
    </w:rPr>
  </w:style>
  <w:style w:type="character" w:styleId="a6">
    <w:name w:val="Strong"/>
    <w:basedOn w:val="a0"/>
    <w:qFormat/>
    <w:rsid w:val="0089509A"/>
    <w:rPr>
      <w:b/>
    </w:rPr>
  </w:style>
  <w:style w:type="character" w:customStyle="1" w:styleId="Char0">
    <w:name w:val="页眉 Char"/>
    <w:basedOn w:val="a0"/>
    <w:link w:val="a4"/>
    <w:qFormat/>
    <w:rsid w:val="0089509A"/>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89509A"/>
    <w:rPr>
      <w:rFonts w:asciiTheme="minorHAnsi" w:eastAsiaTheme="minorEastAsia" w:hAnsiTheme="minorHAnsi" w:cstheme="minorBidi"/>
      <w:kern w:val="2"/>
      <w:sz w:val="18"/>
      <w:szCs w:val="18"/>
    </w:rPr>
  </w:style>
  <w:style w:type="paragraph" w:styleId="a7">
    <w:name w:val="Balloon Text"/>
    <w:basedOn w:val="a"/>
    <w:link w:val="Char1"/>
    <w:rsid w:val="001E7D9A"/>
    <w:rPr>
      <w:sz w:val="18"/>
      <w:szCs w:val="18"/>
    </w:rPr>
  </w:style>
  <w:style w:type="character" w:customStyle="1" w:styleId="Char1">
    <w:name w:val="批注框文本 Char"/>
    <w:basedOn w:val="a0"/>
    <w:link w:val="a7"/>
    <w:rsid w:val="001E7D9A"/>
    <w:rPr>
      <w:rFonts w:asciiTheme="minorHAnsi" w:eastAsiaTheme="minorEastAsia" w:hAnsiTheme="minorHAnsi" w:cstheme="minorBidi"/>
      <w:kern w:val="2"/>
      <w:sz w:val="18"/>
      <w:szCs w:val="18"/>
    </w:rPr>
  </w:style>
  <w:style w:type="table" w:styleId="a8">
    <w:name w:val="Table Grid"/>
    <w:basedOn w:val="a1"/>
    <w:uiPriority w:val="59"/>
    <w:rsid w:val="00D764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E9EE2-BBB6-45D0-BB19-E919C22B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12</cp:revision>
  <cp:lastPrinted>2020-06-17T03:41:00Z</cp:lastPrinted>
  <dcterms:created xsi:type="dcterms:W3CDTF">2020-06-16T09:03:00Z</dcterms:created>
  <dcterms:modified xsi:type="dcterms:W3CDTF">2023-02-16T09:10:00Z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1604A3C5F08E49C590DA193A87355761</vt:lpwstr>
  </property>
</Properties>
</file>